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D1" w:rsidRDefault="000D27D1" w:rsidP="000D27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7D1" w:rsidRDefault="000D27D1" w:rsidP="000D27D1">
      <w:pPr>
        <w:widowControl w:val="0"/>
        <w:autoSpaceDE w:val="0"/>
        <w:autoSpaceDN w:val="0"/>
        <w:adjustRightInd w:val="0"/>
      </w:pPr>
      <w:r>
        <w:t xml:space="preserve">AUTHORITY:  Implementing Section 252 of the Communications Act of 1934 (47 USC 252) and Section 10-101 of the Public Utilities Act and authorized by Section 10-101 of the Public Utilities Act [220 ILCS 5/10-101] and Section 25-101 of the Electronic Commerce Security Act [5 ILCS 175/25-101]. </w:t>
      </w:r>
    </w:p>
    <w:sectPr w:rsidR="000D27D1" w:rsidSect="000D27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7D1"/>
    <w:rsid w:val="000D27D1"/>
    <w:rsid w:val="003B7C75"/>
    <w:rsid w:val="005C3366"/>
    <w:rsid w:val="00CD3DD7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252 of the Communications Act of 1934 (47 USC 252) and Section 10-101 of the Public Utilities</vt:lpstr>
    </vt:vector>
  </TitlesOfParts>
  <Company>State of Illinois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252 of the Communications Act of 1934 (47 USC 252) and Section 10-101 of the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