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2D" w:rsidRDefault="005B172D" w:rsidP="005B17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72D" w:rsidRDefault="005B172D" w:rsidP="005B17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766.415  Factors in Assessing Penalties</w:t>
      </w:r>
      <w:r>
        <w:t xml:space="preserve"> </w:t>
      </w:r>
    </w:p>
    <w:p w:rsidR="005B172D" w:rsidRDefault="005B172D" w:rsidP="005B172D">
      <w:pPr>
        <w:widowControl w:val="0"/>
        <w:autoSpaceDE w:val="0"/>
        <w:autoSpaceDN w:val="0"/>
        <w:adjustRightInd w:val="0"/>
      </w:pPr>
    </w:p>
    <w:p w:rsidR="005B172D" w:rsidRDefault="005B172D" w:rsidP="005B172D">
      <w:pPr>
        <w:widowControl w:val="0"/>
        <w:autoSpaceDE w:val="0"/>
        <w:autoSpaceDN w:val="0"/>
        <w:adjustRightInd w:val="0"/>
      </w:pPr>
      <w:r>
        <w:t xml:space="preserve">In assessing a penalty authorized by Section 13-516 of the Act, factors to be considered by the Commission shall include, but not be limited to, the following factors: </w:t>
      </w:r>
    </w:p>
    <w:p w:rsidR="00616FC2" w:rsidRDefault="00616FC2" w:rsidP="005B172D">
      <w:pPr>
        <w:widowControl w:val="0"/>
        <w:autoSpaceDE w:val="0"/>
        <w:autoSpaceDN w:val="0"/>
        <w:adjustRightInd w:val="0"/>
      </w:pPr>
    </w:p>
    <w:p w:rsidR="005B172D" w:rsidRDefault="005B172D" w:rsidP="005B17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Lack of mitigating circumstances; </w:t>
      </w:r>
    </w:p>
    <w:p w:rsidR="00616FC2" w:rsidRDefault="00616FC2" w:rsidP="005B172D">
      <w:pPr>
        <w:widowControl w:val="0"/>
        <w:autoSpaceDE w:val="0"/>
        <w:autoSpaceDN w:val="0"/>
        <w:adjustRightInd w:val="0"/>
        <w:ind w:left="1440" w:hanging="720"/>
      </w:pPr>
    </w:p>
    <w:p w:rsidR="005B172D" w:rsidRDefault="005B172D" w:rsidP="005B17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Lack of good faith or intent; </w:t>
      </w:r>
    </w:p>
    <w:p w:rsidR="00616FC2" w:rsidRDefault="00616FC2" w:rsidP="005B172D">
      <w:pPr>
        <w:widowControl w:val="0"/>
        <w:autoSpaceDE w:val="0"/>
        <w:autoSpaceDN w:val="0"/>
        <w:adjustRightInd w:val="0"/>
        <w:ind w:left="1440" w:hanging="720"/>
      </w:pPr>
    </w:p>
    <w:p w:rsidR="005B172D" w:rsidRDefault="005B172D" w:rsidP="005B17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Ability to pay; </w:t>
      </w:r>
    </w:p>
    <w:p w:rsidR="00616FC2" w:rsidRDefault="00616FC2" w:rsidP="005B172D">
      <w:pPr>
        <w:widowControl w:val="0"/>
        <w:autoSpaceDE w:val="0"/>
        <w:autoSpaceDN w:val="0"/>
        <w:adjustRightInd w:val="0"/>
        <w:ind w:left="1440" w:hanging="720"/>
      </w:pPr>
    </w:p>
    <w:p w:rsidR="005B172D" w:rsidRDefault="005B172D" w:rsidP="005B17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Degree of harm to the complainant or the public and the extent of the </w:t>
      </w:r>
      <w:proofErr w:type="spellStart"/>
      <w:r>
        <w:t>violative</w:t>
      </w:r>
      <w:proofErr w:type="spellEnd"/>
      <w:r>
        <w:t xml:space="preserve"> conduct; and </w:t>
      </w:r>
    </w:p>
    <w:p w:rsidR="00616FC2" w:rsidRDefault="00616FC2" w:rsidP="005B172D">
      <w:pPr>
        <w:widowControl w:val="0"/>
        <w:autoSpaceDE w:val="0"/>
        <w:autoSpaceDN w:val="0"/>
        <w:adjustRightInd w:val="0"/>
        <w:ind w:left="1440" w:hanging="720"/>
      </w:pPr>
    </w:p>
    <w:p w:rsidR="005B172D" w:rsidRDefault="005B172D" w:rsidP="005B172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Financial benefit accruing to the respondent. </w:t>
      </w:r>
    </w:p>
    <w:sectPr w:rsidR="005B172D" w:rsidSect="005B17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72D"/>
    <w:rsid w:val="00092DEC"/>
    <w:rsid w:val="000B24CB"/>
    <w:rsid w:val="00105923"/>
    <w:rsid w:val="005B172D"/>
    <w:rsid w:val="005C3366"/>
    <w:rsid w:val="0061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766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766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