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8541" w14:textId="77777777" w:rsidR="00A85950" w:rsidRDefault="00A85950" w:rsidP="00214D17">
      <w:pPr>
        <w:widowControl w:val="0"/>
        <w:autoSpaceDE w:val="0"/>
        <w:autoSpaceDN w:val="0"/>
        <w:adjustRightInd w:val="0"/>
      </w:pPr>
    </w:p>
    <w:p w14:paraId="7FEF1541" w14:textId="77777777" w:rsidR="00A85950" w:rsidRDefault="00A85950" w:rsidP="00214D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100.2340</w:t>
      </w:r>
      <w:r w:rsidR="00643B26">
        <w:rPr>
          <w:b/>
          <w:bCs/>
        </w:rPr>
        <w:t xml:space="preserve"> </w:t>
      </w:r>
      <w:r>
        <w:rPr>
          <w:b/>
          <w:bCs/>
        </w:rPr>
        <w:t>Illinois</w:t>
      </w:r>
      <w:r w:rsidR="00643B26">
        <w:rPr>
          <w:b/>
          <w:bCs/>
        </w:rPr>
        <w:t xml:space="preserve"> </w:t>
      </w:r>
      <w:r>
        <w:rPr>
          <w:b/>
          <w:bCs/>
        </w:rPr>
        <w:t>Net Losses</w:t>
      </w:r>
      <w:r w:rsidR="00643B26">
        <w:rPr>
          <w:b/>
          <w:bCs/>
        </w:rPr>
        <w:t xml:space="preserve"> </w:t>
      </w:r>
      <w:r>
        <w:rPr>
          <w:b/>
          <w:bCs/>
        </w:rPr>
        <w:t>and Illinois</w:t>
      </w:r>
      <w:r w:rsidR="00643B26">
        <w:rPr>
          <w:b/>
          <w:bCs/>
        </w:rPr>
        <w:t xml:space="preserve"> </w:t>
      </w:r>
      <w:r>
        <w:rPr>
          <w:b/>
          <w:bCs/>
        </w:rPr>
        <w:t>Net</w:t>
      </w:r>
      <w:r w:rsidR="00643B26">
        <w:rPr>
          <w:b/>
          <w:bCs/>
        </w:rPr>
        <w:t xml:space="preserve"> </w:t>
      </w:r>
      <w:r>
        <w:rPr>
          <w:b/>
          <w:bCs/>
        </w:rPr>
        <w:t>Loss Deductions for</w:t>
      </w:r>
      <w:r w:rsidR="00643B26">
        <w:rPr>
          <w:b/>
          <w:bCs/>
        </w:rPr>
        <w:t xml:space="preserve"> </w:t>
      </w:r>
      <w:r>
        <w:rPr>
          <w:b/>
          <w:bCs/>
        </w:rPr>
        <w:t>Losses Occurring</w:t>
      </w:r>
      <w:r w:rsidR="00643B26">
        <w:rPr>
          <w:b/>
          <w:bCs/>
        </w:rPr>
        <w:t xml:space="preserve"> </w:t>
      </w:r>
      <w:r>
        <w:rPr>
          <w:b/>
          <w:bCs/>
        </w:rPr>
        <w:t>On or After December 31, 1986, of Corporations</w:t>
      </w:r>
      <w:r w:rsidR="00643B26">
        <w:rPr>
          <w:b/>
          <w:bCs/>
        </w:rPr>
        <w:t xml:space="preserve"> </w:t>
      </w:r>
      <w:r>
        <w:rPr>
          <w:b/>
          <w:bCs/>
        </w:rPr>
        <w:t>that are</w:t>
      </w:r>
      <w:r w:rsidR="00643B26">
        <w:rPr>
          <w:b/>
          <w:bCs/>
        </w:rPr>
        <w:t xml:space="preserve"> </w:t>
      </w:r>
      <w:r>
        <w:rPr>
          <w:b/>
          <w:bCs/>
        </w:rPr>
        <w:t>Members of</w:t>
      </w:r>
      <w:r w:rsidR="00643B26">
        <w:rPr>
          <w:b/>
          <w:bCs/>
        </w:rPr>
        <w:t xml:space="preserve"> </w:t>
      </w:r>
      <w:r>
        <w:rPr>
          <w:b/>
          <w:bCs/>
        </w:rPr>
        <w:t>a Unitary Business Group:</w:t>
      </w:r>
      <w:r w:rsidR="00643B26">
        <w:rPr>
          <w:b/>
          <w:bCs/>
        </w:rPr>
        <w:t xml:space="preserve"> </w:t>
      </w:r>
      <w:r>
        <w:rPr>
          <w:b/>
          <w:bCs/>
        </w:rPr>
        <w:t>Separate Unitary Versus Combined Unitary Returns</w:t>
      </w:r>
      <w:r>
        <w:t xml:space="preserve"> </w:t>
      </w:r>
    </w:p>
    <w:p w14:paraId="120F6E8E" w14:textId="77777777" w:rsidR="00A85950" w:rsidRDefault="00A85950" w:rsidP="00214D17">
      <w:pPr>
        <w:widowControl w:val="0"/>
        <w:autoSpaceDE w:val="0"/>
        <w:autoSpaceDN w:val="0"/>
        <w:adjustRightInd w:val="0"/>
      </w:pPr>
    </w:p>
    <w:p w14:paraId="7510EE83" w14:textId="77777777" w:rsidR="00A85950" w:rsidRDefault="00A85950" w:rsidP="00214D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 general.</w:t>
      </w:r>
      <w:r w:rsidR="00643B26">
        <w:t xml:space="preserve"> </w:t>
      </w:r>
      <w:r>
        <w:t>IITA</w:t>
      </w:r>
      <w:r w:rsidR="00643B26">
        <w:t xml:space="preserve"> </w:t>
      </w:r>
      <w:r>
        <w:t>Section 502(f) allows corporations (other</w:t>
      </w:r>
      <w:r w:rsidR="00643B26">
        <w:t xml:space="preserve"> </w:t>
      </w:r>
      <w:r>
        <w:t>than Subchapter</w:t>
      </w:r>
      <w:r w:rsidR="00643B26">
        <w:t xml:space="preserve"> </w:t>
      </w:r>
      <w:r>
        <w:t>S</w:t>
      </w:r>
      <w:r w:rsidR="00643B26">
        <w:t xml:space="preserve"> </w:t>
      </w:r>
      <w:r>
        <w:t>corporations)</w:t>
      </w:r>
      <w:r w:rsidR="00643B26">
        <w:t xml:space="preserve"> </w:t>
      </w:r>
      <w:r>
        <w:t>that</w:t>
      </w:r>
      <w:r w:rsidR="00643B26">
        <w:t xml:space="preserve"> </w:t>
      </w:r>
      <w:r>
        <w:t>are members of the same unitary business group to elect to be</w:t>
      </w:r>
      <w:r w:rsidR="00643B26">
        <w:t xml:space="preserve"> </w:t>
      </w:r>
      <w:r>
        <w:t>treated</w:t>
      </w:r>
      <w:r w:rsidR="00643B26">
        <w:t xml:space="preserve"> </w:t>
      </w:r>
      <w:r>
        <w:t>as</w:t>
      </w:r>
      <w:r w:rsidR="00643B26">
        <w:t xml:space="preserve"> </w:t>
      </w:r>
      <w:r>
        <w:t>one</w:t>
      </w:r>
      <w:r w:rsidR="00643B26">
        <w:t xml:space="preserve"> </w:t>
      </w:r>
      <w:r>
        <w:t>taxpayer</w:t>
      </w:r>
      <w:r w:rsidR="00643B26">
        <w:t xml:space="preserve"> </w:t>
      </w:r>
      <w:r>
        <w:t>for</w:t>
      </w:r>
      <w:r w:rsidR="00643B26">
        <w:t xml:space="preserve"> </w:t>
      </w:r>
      <w:r>
        <w:t>certain</w:t>
      </w:r>
      <w:r w:rsidR="00643B26">
        <w:t xml:space="preserve"> </w:t>
      </w:r>
      <w:r>
        <w:t>purposes including the filing of returns (combined returns) and the</w:t>
      </w:r>
      <w:r w:rsidR="00643B26">
        <w:t xml:space="preserve"> </w:t>
      </w:r>
      <w:r>
        <w:t>determination of</w:t>
      </w:r>
      <w:r w:rsidR="00643B26">
        <w:t xml:space="preserve"> </w:t>
      </w:r>
      <w:r>
        <w:t>the</w:t>
      </w:r>
      <w:r w:rsidR="00643B26">
        <w:t xml:space="preserve"> </w:t>
      </w:r>
      <w:r>
        <w:t>group's</w:t>
      </w:r>
      <w:r w:rsidR="00643B26">
        <w:t xml:space="preserve"> </w:t>
      </w:r>
      <w:r>
        <w:t>tax</w:t>
      </w:r>
      <w:r w:rsidR="00643B26">
        <w:t xml:space="preserve"> </w:t>
      </w:r>
      <w:r>
        <w:t>liability. Consequently, if</w:t>
      </w:r>
      <w:r w:rsidR="00643B26">
        <w:t xml:space="preserve"> </w:t>
      </w:r>
      <w:r>
        <w:t>an election</w:t>
      </w:r>
      <w:r w:rsidR="00643B26">
        <w:t xml:space="preserve"> </w:t>
      </w:r>
      <w:r>
        <w:t>under Section 502(f) is in effect, any Illinois net loss and Illinois net loss deduction of</w:t>
      </w:r>
      <w:r w:rsidR="00643B26">
        <w:t xml:space="preserve"> </w:t>
      </w:r>
      <w:r>
        <w:t>the</w:t>
      </w:r>
      <w:r w:rsidR="00643B26">
        <w:t xml:space="preserve"> </w:t>
      </w:r>
      <w:r>
        <w:t>unitary</w:t>
      </w:r>
      <w:r w:rsidR="00643B26">
        <w:t xml:space="preserve"> </w:t>
      </w:r>
      <w:r>
        <w:t>business</w:t>
      </w:r>
      <w:r w:rsidR="00643B26">
        <w:t xml:space="preserve"> </w:t>
      </w:r>
      <w:r>
        <w:t>group</w:t>
      </w:r>
      <w:r w:rsidR="00643B26">
        <w:t xml:space="preserve"> </w:t>
      </w:r>
      <w:r>
        <w:t>shall</w:t>
      </w:r>
      <w:r w:rsidR="00643B26">
        <w:t xml:space="preserve"> </w:t>
      </w:r>
      <w:r>
        <w:t>be determined as if the group were one taxpayer.</w:t>
      </w:r>
      <w:r w:rsidR="00643B26">
        <w:t xml:space="preserve"> </w:t>
      </w:r>
      <w:r>
        <w:t>If such an election</w:t>
      </w:r>
      <w:r w:rsidR="00643B26">
        <w:t xml:space="preserve"> </w:t>
      </w:r>
      <w:r>
        <w:t>is not</w:t>
      </w:r>
      <w:r w:rsidR="00643B26">
        <w:t xml:space="preserve"> </w:t>
      </w:r>
      <w:r>
        <w:t>in effect,</w:t>
      </w:r>
      <w:r w:rsidR="00643B26">
        <w:t xml:space="preserve"> </w:t>
      </w:r>
      <w:r>
        <w:t>any Illinois net loss and Illinois</w:t>
      </w:r>
      <w:r w:rsidR="00643B26">
        <w:t xml:space="preserve"> </w:t>
      </w:r>
      <w:r>
        <w:t>net loss</w:t>
      </w:r>
      <w:r w:rsidR="00643B26">
        <w:t xml:space="preserve"> </w:t>
      </w:r>
      <w:r>
        <w:t>deduction shall</w:t>
      </w:r>
      <w:r w:rsidR="00643B26">
        <w:t xml:space="preserve"> </w:t>
      </w:r>
      <w:r>
        <w:t>be determined separately</w:t>
      </w:r>
      <w:r w:rsidR="00643B26">
        <w:t xml:space="preserve"> </w:t>
      </w:r>
      <w:r>
        <w:t>on the</w:t>
      </w:r>
      <w:r w:rsidR="00643B26">
        <w:t xml:space="preserve"> </w:t>
      </w:r>
      <w:r>
        <w:t>facts shown</w:t>
      </w:r>
      <w:r w:rsidR="00643B26">
        <w:t xml:space="preserve"> </w:t>
      </w:r>
      <w:r>
        <w:t>on</w:t>
      </w:r>
      <w:r w:rsidR="00643B26">
        <w:t xml:space="preserve"> </w:t>
      </w:r>
      <w:r>
        <w:t>the</w:t>
      </w:r>
      <w:r w:rsidR="00643B26">
        <w:t xml:space="preserve"> </w:t>
      </w:r>
      <w:r>
        <w:t>separate corporate returns</w:t>
      </w:r>
      <w:r w:rsidR="00643B26">
        <w:t xml:space="preserve"> </w:t>
      </w:r>
      <w:r>
        <w:t>of each</w:t>
      </w:r>
      <w:r w:rsidR="00643B26">
        <w:t xml:space="preserve"> </w:t>
      </w:r>
      <w:r>
        <w:t>member of</w:t>
      </w:r>
      <w:r w:rsidR="00643B26">
        <w:t xml:space="preserve"> </w:t>
      </w:r>
      <w:r>
        <w:t>the group.</w:t>
      </w:r>
      <w:r w:rsidR="00643B26">
        <w:t xml:space="preserve"> </w:t>
      </w:r>
      <w:r>
        <w:t>In general, the</w:t>
      </w:r>
      <w:r w:rsidR="00643B26">
        <w:t xml:space="preserve"> </w:t>
      </w:r>
      <w:r>
        <w:t>Section 502(f)</w:t>
      </w:r>
      <w:r w:rsidR="00643B26">
        <w:t xml:space="preserve"> </w:t>
      </w:r>
      <w:r>
        <w:t>election will not affect total amount of net loss or net loss deduction that is available, but</w:t>
      </w:r>
      <w:r w:rsidR="00643B26">
        <w:t xml:space="preserve"> </w:t>
      </w:r>
      <w:r>
        <w:t>it may</w:t>
      </w:r>
      <w:r w:rsidR="00643B26">
        <w:t xml:space="preserve"> </w:t>
      </w:r>
      <w:r>
        <w:t>affect how quickly the loss is absorbed.</w:t>
      </w:r>
      <w:r w:rsidR="00643B26">
        <w:t xml:space="preserve"> </w:t>
      </w:r>
      <w:r>
        <w:t>In general,</w:t>
      </w:r>
      <w:r w:rsidR="00643B26">
        <w:t xml:space="preserve"> </w:t>
      </w:r>
      <w:r>
        <w:t>if an</w:t>
      </w:r>
      <w:r w:rsidR="00643B26">
        <w:t xml:space="preserve"> </w:t>
      </w:r>
      <w:r>
        <w:t>election is in effect, net losses</w:t>
      </w:r>
      <w:r w:rsidR="00643B26">
        <w:t xml:space="preserve"> </w:t>
      </w:r>
      <w:r>
        <w:t>are absorbed</w:t>
      </w:r>
      <w:r w:rsidR="00643B26">
        <w:t xml:space="preserve"> </w:t>
      </w:r>
      <w:r>
        <w:t>more quickly.</w:t>
      </w:r>
      <w:r w:rsidR="00643B26">
        <w:t xml:space="preserve"> </w:t>
      </w:r>
      <w:r>
        <w:t>The rules for determining a net loss or net loss deduction set forth in Sections</w:t>
      </w:r>
      <w:r w:rsidR="00643B26">
        <w:t xml:space="preserve"> </w:t>
      </w:r>
      <w:r>
        <w:t>100.2310 through</w:t>
      </w:r>
      <w:r w:rsidR="00643B26">
        <w:t xml:space="preserve"> </w:t>
      </w:r>
      <w:r>
        <w:t>100.2330 apply</w:t>
      </w:r>
      <w:r w:rsidR="00643B26">
        <w:t xml:space="preserve"> </w:t>
      </w:r>
      <w:r>
        <w:t>in</w:t>
      </w:r>
      <w:r w:rsidR="00643B26">
        <w:t xml:space="preserve"> </w:t>
      </w:r>
      <w:r>
        <w:t>the same manner</w:t>
      </w:r>
      <w:r w:rsidR="00643B26">
        <w:t xml:space="preserve"> </w:t>
      </w:r>
      <w:r>
        <w:t>whether or</w:t>
      </w:r>
      <w:r w:rsidR="00643B26">
        <w:t xml:space="preserve"> </w:t>
      </w:r>
      <w:r>
        <w:t>not such</w:t>
      </w:r>
      <w:r w:rsidR="00643B26">
        <w:t xml:space="preserve"> </w:t>
      </w:r>
      <w:r>
        <w:t>an election</w:t>
      </w:r>
      <w:r w:rsidR="00643B26">
        <w:t xml:space="preserve"> </w:t>
      </w:r>
      <w:r>
        <w:t>is</w:t>
      </w:r>
      <w:r w:rsidR="00643B26">
        <w:t xml:space="preserve"> </w:t>
      </w:r>
      <w:r>
        <w:t>in effect.</w:t>
      </w:r>
      <w:r w:rsidR="00643B26">
        <w:t xml:space="preserve"> </w:t>
      </w:r>
      <w:r>
        <w:t>If the business income of a unitary business group results</w:t>
      </w:r>
      <w:r w:rsidR="00643B26">
        <w:t xml:space="preserve"> </w:t>
      </w:r>
      <w:r>
        <w:t>in a loss, the amount of that loss will be the same whether or not a combined return is filed. If a</w:t>
      </w:r>
      <w:r w:rsidR="00643B26">
        <w:t xml:space="preserve"> </w:t>
      </w:r>
      <w:r>
        <w:t>combined return is not filed, any such loss will be apportioned among all members of the group based on each member's</w:t>
      </w:r>
      <w:r w:rsidR="00643B26">
        <w:t xml:space="preserve"> </w:t>
      </w:r>
      <w:r>
        <w:t>apportionment factors</w:t>
      </w:r>
      <w:r w:rsidR="00643B26">
        <w:t xml:space="preserve"> </w:t>
      </w:r>
      <w:r>
        <w:t>in</w:t>
      </w:r>
      <w:r w:rsidR="00643B26">
        <w:t xml:space="preserve"> </w:t>
      </w:r>
      <w:r>
        <w:t>Illinois</w:t>
      </w:r>
      <w:r w:rsidR="00643B26">
        <w:t xml:space="preserve"> </w:t>
      </w:r>
      <w:r>
        <w:t>as compared</w:t>
      </w:r>
      <w:r w:rsidR="00643B26">
        <w:t xml:space="preserve"> </w:t>
      </w:r>
      <w:r>
        <w:t>to their</w:t>
      </w:r>
      <w:r w:rsidR="00643B26">
        <w:t xml:space="preserve"> </w:t>
      </w:r>
      <w:r>
        <w:t>combined</w:t>
      </w:r>
      <w:r w:rsidR="00643B26">
        <w:t xml:space="preserve"> </w:t>
      </w:r>
      <w:r>
        <w:t>apportionment</w:t>
      </w:r>
      <w:r w:rsidR="00643B26">
        <w:t xml:space="preserve"> </w:t>
      </w:r>
      <w:r>
        <w:t>factors everywhere.</w:t>
      </w:r>
      <w:r w:rsidR="00643B26">
        <w:t xml:space="preserve"> </w:t>
      </w:r>
      <w:r>
        <w:t>This is</w:t>
      </w:r>
      <w:r w:rsidR="00643B26">
        <w:t xml:space="preserve"> </w:t>
      </w:r>
      <w:r>
        <w:t>illustrated</w:t>
      </w:r>
      <w:r w:rsidR="00643B26">
        <w:t xml:space="preserve"> </w:t>
      </w:r>
      <w:r>
        <w:t>by</w:t>
      </w:r>
      <w:r w:rsidR="00643B26">
        <w:t xml:space="preserve"> </w:t>
      </w:r>
      <w:r>
        <w:t>the</w:t>
      </w:r>
      <w:r w:rsidR="00643B26">
        <w:t xml:space="preserve"> </w:t>
      </w:r>
      <w:r>
        <w:t xml:space="preserve">following Example: </w:t>
      </w:r>
    </w:p>
    <w:p w14:paraId="259B08E2" w14:textId="77777777" w:rsidR="00083C7B" w:rsidRDefault="00083C7B" w:rsidP="00214D17">
      <w:pPr>
        <w:widowControl w:val="0"/>
        <w:autoSpaceDE w:val="0"/>
        <w:autoSpaceDN w:val="0"/>
        <w:adjustRightInd w:val="0"/>
        <w:ind w:left="1440" w:hanging="720"/>
      </w:pPr>
    </w:p>
    <w:p w14:paraId="47B09227" w14:textId="77777777" w:rsidR="00A85950" w:rsidRDefault="00A85950" w:rsidP="009535B1">
      <w:pPr>
        <w:widowControl w:val="0"/>
        <w:autoSpaceDE w:val="0"/>
        <w:autoSpaceDN w:val="0"/>
        <w:adjustRightInd w:val="0"/>
        <w:ind w:left="1440"/>
      </w:pPr>
      <w:r>
        <w:t>EXAMPLE:</w:t>
      </w:r>
      <w:r w:rsidR="00643B26">
        <w:t xml:space="preserve"> </w:t>
      </w:r>
      <w:r>
        <w:t>Assume that Corporation A and Corporation B constitute a</w:t>
      </w:r>
      <w:r w:rsidR="00643B26">
        <w:t xml:space="preserve"> </w:t>
      </w:r>
      <w:r>
        <w:t>unitary business</w:t>
      </w:r>
      <w:r w:rsidR="00643B26">
        <w:t xml:space="preserve"> </w:t>
      </w:r>
      <w:r>
        <w:t>group and</w:t>
      </w:r>
      <w:r w:rsidR="00643B26">
        <w:t xml:space="preserve"> </w:t>
      </w:r>
      <w:r>
        <w:t>there is no nonbusiness income</w:t>
      </w:r>
      <w:r w:rsidR="00643B26">
        <w:t xml:space="preserve"> </w:t>
      </w:r>
      <w:r>
        <w:t>or loss.</w:t>
      </w:r>
      <w:r w:rsidR="00643B26">
        <w:t xml:space="preserve"> </w:t>
      </w:r>
      <w:r>
        <w:t>Under</w:t>
      </w:r>
      <w:r w:rsidR="00643B26">
        <w:t xml:space="preserve"> </w:t>
      </w:r>
      <w:r>
        <w:t>the facts</w:t>
      </w:r>
      <w:r w:rsidR="00643B26">
        <w:t xml:space="preserve"> </w:t>
      </w:r>
      <w:r>
        <w:t>given below, if A and B file separate returns in 1986, using combined apportionment,</w:t>
      </w:r>
      <w:r w:rsidR="00643B26">
        <w:t xml:space="preserve"> </w:t>
      </w:r>
      <w:r>
        <w:t>A will</w:t>
      </w:r>
      <w:r w:rsidR="00643B26">
        <w:t xml:space="preserve"> </w:t>
      </w:r>
      <w:r>
        <w:t>have an</w:t>
      </w:r>
      <w:r w:rsidR="00643B26">
        <w:t xml:space="preserve"> </w:t>
      </w:r>
      <w:r>
        <w:t>Illinois net loss of</w:t>
      </w:r>
      <w:r w:rsidR="00643B26">
        <w:t xml:space="preserve"> </w:t>
      </w:r>
      <w:r>
        <w:t>$100 and</w:t>
      </w:r>
      <w:r w:rsidR="00643B26">
        <w:t xml:space="preserve"> </w:t>
      </w:r>
      <w:r>
        <w:t>B will have an Illinois net loss of $400, and</w:t>
      </w:r>
      <w:r w:rsidR="00643B26">
        <w:t xml:space="preserve"> </w:t>
      </w:r>
      <w:r>
        <w:t>if a</w:t>
      </w:r>
      <w:r w:rsidR="00643B26">
        <w:t xml:space="preserve"> </w:t>
      </w:r>
      <w:r>
        <w:t>combined return</w:t>
      </w:r>
      <w:r w:rsidR="00643B26">
        <w:t xml:space="preserve"> </w:t>
      </w:r>
      <w:r>
        <w:t>is filed,</w:t>
      </w:r>
      <w:r w:rsidR="00643B26">
        <w:t xml:space="preserve"> </w:t>
      </w:r>
      <w:r>
        <w:t xml:space="preserve">the group will report a combined Illinois net loss of $500. </w:t>
      </w:r>
    </w:p>
    <w:p w14:paraId="5BE3CA04" w14:textId="77777777" w:rsidR="00F75C9F" w:rsidRDefault="00F75C9F" w:rsidP="00214D17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03" w:type="dxa"/>
        <w:tblLook w:val="0000" w:firstRow="0" w:lastRow="0" w:firstColumn="0" w:lastColumn="0" w:noHBand="0" w:noVBand="0"/>
      </w:tblPr>
      <w:tblGrid>
        <w:gridCol w:w="3135"/>
        <w:gridCol w:w="1197"/>
        <w:gridCol w:w="1083"/>
        <w:gridCol w:w="1539"/>
      </w:tblGrid>
      <w:tr w:rsidR="00F75C9F" w14:paraId="5B543A3B" w14:textId="77777777">
        <w:trPr>
          <w:trHeight w:val="405"/>
        </w:trPr>
        <w:tc>
          <w:tcPr>
            <w:tcW w:w="3135" w:type="dxa"/>
          </w:tcPr>
          <w:p w14:paraId="4CC9F237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</w:p>
        </w:tc>
        <w:tc>
          <w:tcPr>
            <w:tcW w:w="1197" w:type="dxa"/>
          </w:tcPr>
          <w:p w14:paraId="7A5DFDFF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Corp A.</w:t>
            </w:r>
          </w:p>
        </w:tc>
        <w:tc>
          <w:tcPr>
            <w:tcW w:w="1083" w:type="dxa"/>
          </w:tcPr>
          <w:p w14:paraId="02E60D90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Corp. B</w:t>
            </w:r>
          </w:p>
        </w:tc>
        <w:tc>
          <w:tcPr>
            <w:tcW w:w="1539" w:type="dxa"/>
          </w:tcPr>
          <w:p w14:paraId="4EA2EC68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Combined</w:t>
            </w:r>
          </w:p>
        </w:tc>
      </w:tr>
      <w:tr w:rsidR="00F75C9F" w14:paraId="582A583E" w14:textId="77777777">
        <w:tc>
          <w:tcPr>
            <w:tcW w:w="3135" w:type="dxa"/>
          </w:tcPr>
          <w:p w14:paraId="494AE238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Base Income (loss)</w:t>
            </w:r>
          </w:p>
        </w:tc>
        <w:tc>
          <w:tcPr>
            <w:tcW w:w="1197" w:type="dxa"/>
          </w:tcPr>
          <w:p w14:paraId="58D550B0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3" w:type="dxa"/>
          </w:tcPr>
          <w:p w14:paraId="0A8561AF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(1,200)</w:t>
            </w:r>
          </w:p>
        </w:tc>
        <w:tc>
          <w:tcPr>
            <w:tcW w:w="1539" w:type="dxa"/>
          </w:tcPr>
          <w:p w14:paraId="3A011FB6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(1,000)</w:t>
            </w:r>
          </w:p>
        </w:tc>
      </w:tr>
      <w:tr w:rsidR="00F75C9F" w14:paraId="0038F1FC" w14:textId="77777777">
        <w:tc>
          <w:tcPr>
            <w:tcW w:w="3135" w:type="dxa"/>
          </w:tcPr>
          <w:p w14:paraId="6B88152B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Business Income</w:t>
            </w:r>
          </w:p>
        </w:tc>
        <w:tc>
          <w:tcPr>
            <w:tcW w:w="1197" w:type="dxa"/>
          </w:tcPr>
          <w:p w14:paraId="5EA0F9DF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</w:tcPr>
          <w:p w14:paraId="609EC58A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14:paraId="460D1DB1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(1,000)</w:t>
            </w:r>
          </w:p>
        </w:tc>
      </w:tr>
      <w:tr w:rsidR="00F75C9F" w14:paraId="0BAC88CE" w14:textId="77777777">
        <w:tc>
          <w:tcPr>
            <w:tcW w:w="3135" w:type="dxa"/>
          </w:tcPr>
          <w:p w14:paraId="23A80C7E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Apport. % (sep. Ill./comb. everywhere)</w:t>
            </w:r>
          </w:p>
        </w:tc>
        <w:tc>
          <w:tcPr>
            <w:tcW w:w="1197" w:type="dxa"/>
          </w:tcPr>
          <w:p w14:paraId="00F3FD3E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083" w:type="dxa"/>
          </w:tcPr>
          <w:p w14:paraId="2B46EF9E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40%</w:t>
            </w:r>
          </w:p>
        </w:tc>
        <w:tc>
          <w:tcPr>
            <w:tcW w:w="1539" w:type="dxa"/>
          </w:tcPr>
          <w:p w14:paraId="5B634DCD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5C9F" w14:paraId="545ECAC7" w14:textId="77777777">
        <w:tc>
          <w:tcPr>
            <w:tcW w:w="3135" w:type="dxa"/>
          </w:tcPr>
          <w:p w14:paraId="75090207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Apport. % (comb. Ill./comb. everywhere)</w:t>
            </w:r>
          </w:p>
        </w:tc>
        <w:tc>
          <w:tcPr>
            <w:tcW w:w="1197" w:type="dxa"/>
          </w:tcPr>
          <w:p w14:paraId="759FB36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</w:tcPr>
          <w:p w14:paraId="0AB2C081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14:paraId="068FC3FF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50%</w:t>
            </w:r>
          </w:p>
        </w:tc>
      </w:tr>
      <w:tr w:rsidR="00F75C9F" w14:paraId="2923BFC9" w14:textId="77777777">
        <w:tc>
          <w:tcPr>
            <w:tcW w:w="3135" w:type="dxa"/>
          </w:tcPr>
          <w:p w14:paraId="53961686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Apportioned income (loss)</w:t>
            </w:r>
          </w:p>
        </w:tc>
        <w:tc>
          <w:tcPr>
            <w:tcW w:w="1197" w:type="dxa"/>
          </w:tcPr>
          <w:p w14:paraId="3FEAF18A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(100)</w:t>
            </w:r>
          </w:p>
        </w:tc>
        <w:tc>
          <w:tcPr>
            <w:tcW w:w="1083" w:type="dxa"/>
          </w:tcPr>
          <w:p w14:paraId="33411353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(400)</w:t>
            </w:r>
          </w:p>
        </w:tc>
        <w:tc>
          <w:tcPr>
            <w:tcW w:w="1539" w:type="dxa"/>
          </w:tcPr>
          <w:p w14:paraId="628F28F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(500)</w:t>
            </w:r>
          </w:p>
        </w:tc>
      </w:tr>
      <w:tr w:rsidR="00F75C9F" w14:paraId="0DE6E087" w14:textId="77777777">
        <w:tc>
          <w:tcPr>
            <w:tcW w:w="3135" w:type="dxa"/>
          </w:tcPr>
          <w:p w14:paraId="5B814800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Illinois Net Income (loss)</w:t>
            </w:r>
          </w:p>
        </w:tc>
        <w:tc>
          <w:tcPr>
            <w:tcW w:w="1197" w:type="dxa"/>
          </w:tcPr>
          <w:p w14:paraId="09B41ADE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(100)</w:t>
            </w:r>
          </w:p>
        </w:tc>
        <w:tc>
          <w:tcPr>
            <w:tcW w:w="1083" w:type="dxa"/>
          </w:tcPr>
          <w:p w14:paraId="5D777B95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(400)</w:t>
            </w:r>
          </w:p>
        </w:tc>
        <w:tc>
          <w:tcPr>
            <w:tcW w:w="1539" w:type="dxa"/>
          </w:tcPr>
          <w:p w14:paraId="4BCCE12A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(500)</w:t>
            </w:r>
          </w:p>
        </w:tc>
      </w:tr>
    </w:tbl>
    <w:p w14:paraId="6D404D78" w14:textId="77777777" w:rsidR="00F75C9F" w:rsidRDefault="00F75C9F" w:rsidP="00214D17">
      <w:pPr>
        <w:widowControl w:val="0"/>
        <w:autoSpaceDE w:val="0"/>
        <w:autoSpaceDN w:val="0"/>
        <w:adjustRightInd w:val="0"/>
      </w:pPr>
    </w:p>
    <w:p w14:paraId="56E8D7CC" w14:textId="77777777" w:rsidR="00A85950" w:rsidRDefault="00A85950" w:rsidP="00214D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Determination of the amount of Illinois net loss.</w:t>
      </w:r>
      <w:r w:rsidR="00643B26">
        <w:t xml:space="preserve"> </w:t>
      </w:r>
      <w:r>
        <w:t>The election provided under IITA Section 502(f) may affect whether or</w:t>
      </w:r>
      <w:r w:rsidR="00643B26">
        <w:t xml:space="preserve"> </w:t>
      </w:r>
      <w:r>
        <w:t>not an</w:t>
      </w:r>
      <w:r w:rsidR="00643B26">
        <w:t xml:space="preserve"> </w:t>
      </w:r>
      <w:r>
        <w:t>Illinois net</w:t>
      </w:r>
      <w:r w:rsidR="00643B26">
        <w:t xml:space="preserve"> </w:t>
      </w:r>
      <w:r>
        <w:t>loss is</w:t>
      </w:r>
      <w:r w:rsidR="00643B26">
        <w:t xml:space="preserve"> </w:t>
      </w:r>
      <w:r>
        <w:t>incurred by particular members</w:t>
      </w:r>
      <w:r w:rsidR="00643B26">
        <w:t xml:space="preserve"> </w:t>
      </w:r>
      <w:r>
        <w:t>of the</w:t>
      </w:r>
      <w:r w:rsidR="00643B26">
        <w:t xml:space="preserve"> </w:t>
      </w:r>
      <w:r>
        <w:t>unitary business</w:t>
      </w:r>
      <w:r w:rsidR="00643B26">
        <w:t xml:space="preserve"> </w:t>
      </w:r>
      <w:r>
        <w:t>group if some members</w:t>
      </w:r>
      <w:r w:rsidR="00643B26">
        <w:t xml:space="preserve"> </w:t>
      </w:r>
      <w:r>
        <w:t xml:space="preserve">have </w:t>
      </w:r>
      <w:r>
        <w:lastRenderedPageBreak/>
        <w:t>nonunitary income or loss.</w:t>
      </w:r>
      <w:r w:rsidR="00643B26">
        <w:t xml:space="preserve"> </w:t>
      </w:r>
      <w:r>
        <w:t xml:space="preserve">This is illustrated in the following Example. </w:t>
      </w:r>
    </w:p>
    <w:p w14:paraId="3DAB99D5" w14:textId="77777777" w:rsidR="009535B1" w:rsidRDefault="009535B1" w:rsidP="00214D17">
      <w:pPr>
        <w:widowControl w:val="0"/>
        <w:autoSpaceDE w:val="0"/>
        <w:autoSpaceDN w:val="0"/>
        <w:adjustRightInd w:val="0"/>
        <w:ind w:left="1440" w:firstLine="1440"/>
      </w:pPr>
    </w:p>
    <w:p w14:paraId="7B39495B" w14:textId="77777777" w:rsidR="00A85950" w:rsidRDefault="00A85950" w:rsidP="009535B1">
      <w:pPr>
        <w:widowControl w:val="0"/>
        <w:autoSpaceDE w:val="0"/>
        <w:autoSpaceDN w:val="0"/>
        <w:adjustRightInd w:val="0"/>
        <w:ind w:left="1440"/>
      </w:pPr>
      <w:r>
        <w:t>EXAMPLE:</w:t>
      </w:r>
      <w:r w:rsidR="00643B26">
        <w:t xml:space="preserve"> </w:t>
      </w:r>
      <w:r>
        <w:t>Assume that Corporation A and Corporation B constitute a</w:t>
      </w:r>
      <w:r w:rsidR="00643B26">
        <w:t xml:space="preserve"> </w:t>
      </w:r>
      <w:r>
        <w:t>unitary business</w:t>
      </w:r>
      <w:r w:rsidR="00643B26">
        <w:t xml:space="preserve"> </w:t>
      </w:r>
      <w:r>
        <w:t>group in</w:t>
      </w:r>
      <w:r w:rsidR="00643B26">
        <w:t xml:space="preserve"> </w:t>
      </w:r>
      <w:r>
        <w:t>1986.</w:t>
      </w:r>
      <w:r w:rsidR="00643B26">
        <w:t xml:space="preserve"> </w:t>
      </w:r>
      <w:r>
        <w:t>Under the facts</w:t>
      </w:r>
      <w:r w:rsidR="00643B26">
        <w:t xml:space="preserve"> </w:t>
      </w:r>
      <w:r>
        <w:t>given below,</w:t>
      </w:r>
      <w:r w:rsidR="00643B26">
        <w:t xml:space="preserve"> </w:t>
      </w:r>
      <w:r>
        <w:t>if</w:t>
      </w:r>
      <w:r w:rsidR="00643B26">
        <w:t xml:space="preserve"> </w:t>
      </w:r>
      <w:r>
        <w:t>A</w:t>
      </w:r>
      <w:r w:rsidR="00643B26">
        <w:t xml:space="preserve"> </w:t>
      </w:r>
      <w:r>
        <w:t>and</w:t>
      </w:r>
      <w:r w:rsidR="00643B26">
        <w:t xml:space="preserve"> </w:t>
      </w:r>
      <w:r>
        <w:t>B</w:t>
      </w:r>
      <w:r w:rsidR="00643B26">
        <w:t xml:space="preserve"> </w:t>
      </w:r>
      <w:r>
        <w:t>file</w:t>
      </w:r>
      <w:r w:rsidR="00643B26">
        <w:t xml:space="preserve"> </w:t>
      </w:r>
      <w:r>
        <w:t>separate returns in</w:t>
      </w:r>
      <w:r w:rsidR="00643B26">
        <w:t xml:space="preserve"> </w:t>
      </w:r>
      <w:r>
        <w:t>1986,</w:t>
      </w:r>
      <w:r w:rsidR="00643B26">
        <w:t xml:space="preserve"> </w:t>
      </w:r>
      <w:r>
        <w:t>using</w:t>
      </w:r>
      <w:r w:rsidR="00643B26">
        <w:t xml:space="preserve"> </w:t>
      </w:r>
      <w:r>
        <w:t>the</w:t>
      </w:r>
      <w:r w:rsidR="00643B26">
        <w:t xml:space="preserve"> </w:t>
      </w:r>
      <w:r>
        <w:t>combined</w:t>
      </w:r>
      <w:r w:rsidR="00643B26">
        <w:t xml:space="preserve"> </w:t>
      </w:r>
      <w:r>
        <w:t>apportionment method, A will have an Illinois net loss of $170 and B will report</w:t>
      </w:r>
      <w:r w:rsidR="00643B26">
        <w:t xml:space="preserve"> </w:t>
      </w:r>
      <w:r>
        <w:t>Illinois</w:t>
      </w:r>
      <w:r w:rsidR="00643B26">
        <w:t xml:space="preserve"> </w:t>
      </w:r>
      <w:r>
        <w:t>net</w:t>
      </w:r>
      <w:r w:rsidR="00643B26">
        <w:t xml:space="preserve"> </w:t>
      </w:r>
      <w:r>
        <w:t>income</w:t>
      </w:r>
      <w:r w:rsidR="00643B26">
        <w:t xml:space="preserve"> </w:t>
      </w:r>
      <w:r>
        <w:t>of</w:t>
      </w:r>
      <w:r w:rsidR="00643B26">
        <w:t xml:space="preserve"> </w:t>
      </w:r>
      <w:r>
        <w:t>$520. If</w:t>
      </w:r>
      <w:r w:rsidR="00643B26">
        <w:t xml:space="preserve"> </w:t>
      </w:r>
      <w:r>
        <w:t>a combined</w:t>
      </w:r>
      <w:r w:rsidR="00643B26">
        <w:t xml:space="preserve"> </w:t>
      </w:r>
      <w:r>
        <w:t>return</w:t>
      </w:r>
      <w:r w:rsidR="00643B26">
        <w:t xml:space="preserve"> </w:t>
      </w:r>
      <w:r>
        <w:t>is</w:t>
      </w:r>
      <w:r w:rsidR="00643B26">
        <w:t xml:space="preserve"> </w:t>
      </w:r>
      <w:r>
        <w:t>filed,</w:t>
      </w:r>
      <w:r w:rsidR="00643B26">
        <w:t xml:space="preserve"> </w:t>
      </w:r>
      <w:r>
        <w:t>the</w:t>
      </w:r>
      <w:r w:rsidR="00643B26">
        <w:t xml:space="preserve"> </w:t>
      </w:r>
      <w:r>
        <w:t>group</w:t>
      </w:r>
      <w:r w:rsidR="00643B26">
        <w:t xml:space="preserve"> </w:t>
      </w:r>
      <w:r>
        <w:t>will</w:t>
      </w:r>
      <w:r w:rsidR="00643B26">
        <w:t xml:space="preserve"> </w:t>
      </w:r>
      <w:r>
        <w:t xml:space="preserve">report combined Illinois net income of $350. </w:t>
      </w:r>
    </w:p>
    <w:p w14:paraId="5FC0251D" w14:textId="77777777" w:rsidR="00F75C9F" w:rsidRDefault="00F75C9F" w:rsidP="00214D17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3477"/>
        <w:gridCol w:w="1140"/>
        <w:gridCol w:w="1064"/>
        <w:gridCol w:w="1216"/>
      </w:tblGrid>
      <w:tr w:rsidR="00F75C9F" w14:paraId="26364C55" w14:textId="77777777">
        <w:trPr>
          <w:trHeight w:val="405"/>
        </w:trPr>
        <w:tc>
          <w:tcPr>
            <w:tcW w:w="3477" w:type="dxa"/>
          </w:tcPr>
          <w:p w14:paraId="695CA984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</w:p>
        </w:tc>
        <w:tc>
          <w:tcPr>
            <w:tcW w:w="1140" w:type="dxa"/>
          </w:tcPr>
          <w:p w14:paraId="22E020F2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Corp. A</w:t>
            </w:r>
          </w:p>
        </w:tc>
        <w:tc>
          <w:tcPr>
            <w:tcW w:w="1064" w:type="dxa"/>
          </w:tcPr>
          <w:p w14:paraId="0B5C9E4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Cor</w:t>
            </w:r>
            <w:r w:rsidR="00294CD5">
              <w:t>p.</w:t>
            </w:r>
            <w:r>
              <w:t xml:space="preserve"> B</w:t>
            </w:r>
          </w:p>
        </w:tc>
        <w:tc>
          <w:tcPr>
            <w:tcW w:w="1216" w:type="dxa"/>
          </w:tcPr>
          <w:p w14:paraId="7B311D1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Combined</w:t>
            </w:r>
          </w:p>
        </w:tc>
      </w:tr>
      <w:tr w:rsidR="00F75C9F" w14:paraId="118370E8" w14:textId="77777777">
        <w:tc>
          <w:tcPr>
            <w:tcW w:w="3477" w:type="dxa"/>
          </w:tcPr>
          <w:p w14:paraId="0C1B234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Base income</w:t>
            </w:r>
          </w:p>
        </w:tc>
        <w:tc>
          <w:tcPr>
            <w:tcW w:w="1140" w:type="dxa"/>
          </w:tcPr>
          <w:p w14:paraId="0825692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14:paraId="1E4001DE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6" w:type="dxa"/>
          </w:tcPr>
          <w:p w14:paraId="18946F6D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F75C9F" w14:paraId="00D3387B" w14:textId="77777777">
        <w:tc>
          <w:tcPr>
            <w:tcW w:w="3477" w:type="dxa"/>
          </w:tcPr>
          <w:p w14:paraId="7A8F329E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Nonbusiness loss</w:t>
            </w:r>
          </w:p>
        </w:tc>
        <w:tc>
          <w:tcPr>
            <w:tcW w:w="1140" w:type="dxa"/>
          </w:tcPr>
          <w:p w14:paraId="6295DC65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(300)</w:t>
            </w:r>
          </w:p>
        </w:tc>
        <w:tc>
          <w:tcPr>
            <w:tcW w:w="1064" w:type="dxa"/>
          </w:tcPr>
          <w:p w14:paraId="2A34F86B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6" w:type="dxa"/>
          </w:tcPr>
          <w:p w14:paraId="4D2ADFA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(300)</w:t>
            </w:r>
          </w:p>
        </w:tc>
      </w:tr>
      <w:tr w:rsidR="00F75C9F" w14:paraId="411C9567" w14:textId="77777777">
        <w:tc>
          <w:tcPr>
            <w:tcW w:w="3477" w:type="dxa"/>
          </w:tcPr>
          <w:p w14:paraId="422A713E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Business income</w:t>
            </w:r>
          </w:p>
        </w:tc>
        <w:tc>
          <w:tcPr>
            <w:tcW w:w="1140" w:type="dxa"/>
          </w:tcPr>
          <w:p w14:paraId="714737F4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14:paraId="543A8E8A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6" w:type="dxa"/>
          </w:tcPr>
          <w:p w14:paraId="657B2A8F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1,300</w:t>
            </w:r>
          </w:p>
        </w:tc>
      </w:tr>
      <w:tr w:rsidR="00F75C9F" w14:paraId="62E79BB2" w14:textId="77777777">
        <w:tc>
          <w:tcPr>
            <w:tcW w:w="3477" w:type="dxa"/>
          </w:tcPr>
          <w:p w14:paraId="009C6803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Apport. % (</w:t>
            </w:r>
            <w:proofErr w:type="spellStart"/>
            <w:r>
              <w:t>sep.Ill</w:t>
            </w:r>
            <w:proofErr w:type="spellEnd"/>
            <w:r>
              <w:t>./comb. everywhere)</w:t>
            </w:r>
          </w:p>
        </w:tc>
        <w:tc>
          <w:tcPr>
            <w:tcW w:w="1140" w:type="dxa"/>
          </w:tcPr>
          <w:p w14:paraId="0B4EFB88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14:paraId="70144BF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216" w:type="dxa"/>
          </w:tcPr>
          <w:p w14:paraId="55B3844F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40%</w:t>
            </w:r>
          </w:p>
        </w:tc>
      </w:tr>
      <w:tr w:rsidR="00F75C9F" w14:paraId="0B4DC9CE" w14:textId="77777777">
        <w:tc>
          <w:tcPr>
            <w:tcW w:w="3477" w:type="dxa"/>
          </w:tcPr>
          <w:p w14:paraId="6A4CE310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Apport. % (comb. Ill./comb. everywhere</w:t>
            </w:r>
          </w:p>
        </w:tc>
        <w:tc>
          <w:tcPr>
            <w:tcW w:w="1140" w:type="dxa"/>
          </w:tcPr>
          <w:p w14:paraId="22AFD021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14:paraId="4DD04A5E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6" w:type="dxa"/>
          </w:tcPr>
          <w:p w14:paraId="4AC1E3D2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50%</w:t>
            </w:r>
          </w:p>
        </w:tc>
      </w:tr>
      <w:tr w:rsidR="00F75C9F" w14:paraId="1519BEB7" w14:textId="77777777">
        <w:tc>
          <w:tcPr>
            <w:tcW w:w="3477" w:type="dxa"/>
          </w:tcPr>
          <w:p w14:paraId="4243A77F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Apportioned income</w:t>
            </w:r>
          </w:p>
        </w:tc>
        <w:tc>
          <w:tcPr>
            <w:tcW w:w="1140" w:type="dxa"/>
          </w:tcPr>
          <w:p w14:paraId="387D8DCD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064" w:type="dxa"/>
          </w:tcPr>
          <w:p w14:paraId="43B5C312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520</w:t>
            </w:r>
          </w:p>
        </w:tc>
        <w:tc>
          <w:tcPr>
            <w:tcW w:w="1216" w:type="dxa"/>
          </w:tcPr>
          <w:p w14:paraId="2F095BF6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</w:tr>
      <w:tr w:rsidR="00F75C9F" w14:paraId="38DB3D81" w14:textId="77777777">
        <w:tc>
          <w:tcPr>
            <w:tcW w:w="3477" w:type="dxa"/>
          </w:tcPr>
          <w:p w14:paraId="17B63DDC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Nonbusiness loss allocable to Illinois</w:t>
            </w:r>
          </w:p>
        </w:tc>
        <w:tc>
          <w:tcPr>
            <w:tcW w:w="1140" w:type="dxa"/>
          </w:tcPr>
          <w:p w14:paraId="456FF06C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(300)</w:t>
            </w:r>
          </w:p>
        </w:tc>
        <w:tc>
          <w:tcPr>
            <w:tcW w:w="1064" w:type="dxa"/>
          </w:tcPr>
          <w:p w14:paraId="72672E5B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6" w:type="dxa"/>
          </w:tcPr>
          <w:p w14:paraId="7B6A5211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(300)</w:t>
            </w:r>
          </w:p>
        </w:tc>
      </w:tr>
      <w:tr w:rsidR="00F75C9F" w14:paraId="0CCA3B3D" w14:textId="77777777">
        <w:tc>
          <w:tcPr>
            <w:tcW w:w="3477" w:type="dxa"/>
          </w:tcPr>
          <w:p w14:paraId="4DD343EC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ind w:left="720" w:hanging="720"/>
            </w:pPr>
            <w:r>
              <w:t>Illinois Net income (loss)</w:t>
            </w:r>
          </w:p>
        </w:tc>
        <w:tc>
          <w:tcPr>
            <w:tcW w:w="1140" w:type="dxa"/>
          </w:tcPr>
          <w:p w14:paraId="3CE18834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(170)</w:t>
            </w:r>
          </w:p>
        </w:tc>
        <w:tc>
          <w:tcPr>
            <w:tcW w:w="1064" w:type="dxa"/>
          </w:tcPr>
          <w:p w14:paraId="33331A11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520</w:t>
            </w:r>
          </w:p>
        </w:tc>
        <w:tc>
          <w:tcPr>
            <w:tcW w:w="1216" w:type="dxa"/>
          </w:tcPr>
          <w:p w14:paraId="4A7BDC96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</w:tr>
    </w:tbl>
    <w:p w14:paraId="454F5758" w14:textId="77777777" w:rsidR="00F75C9F" w:rsidRDefault="00F75C9F" w:rsidP="00214D17">
      <w:pPr>
        <w:widowControl w:val="0"/>
        <w:autoSpaceDE w:val="0"/>
        <w:autoSpaceDN w:val="0"/>
        <w:adjustRightInd w:val="0"/>
      </w:pPr>
    </w:p>
    <w:p w14:paraId="0FD6B00D" w14:textId="77777777" w:rsidR="00A85950" w:rsidRDefault="00A85950" w:rsidP="00214D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Illinois net</w:t>
      </w:r>
      <w:r w:rsidR="00643B26">
        <w:t xml:space="preserve"> </w:t>
      </w:r>
      <w:r>
        <w:t>loss carrybacks</w:t>
      </w:r>
      <w:r w:rsidR="00643B26">
        <w:t xml:space="preserve"> </w:t>
      </w:r>
      <w:r>
        <w:t>and</w:t>
      </w:r>
      <w:r w:rsidR="00643B26">
        <w:t xml:space="preserve"> </w:t>
      </w:r>
      <w:r>
        <w:t>carryovers.</w:t>
      </w:r>
      <w:r w:rsidR="00643B26">
        <w:t xml:space="preserve"> </w:t>
      </w:r>
      <w:r>
        <w:t>The election provided</w:t>
      </w:r>
      <w:r w:rsidR="00643B26">
        <w:t xml:space="preserve"> </w:t>
      </w:r>
      <w:r>
        <w:t>in IITA</w:t>
      </w:r>
      <w:r w:rsidR="00643B26">
        <w:t xml:space="preserve"> </w:t>
      </w:r>
      <w:r>
        <w:t>Section 502(f)</w:t>
      </w:r>
      <w:r w:rsidR="00643B26">
        <w:t xml:space="preserve"> </w:t>
      </w:r>
      <w:r>
        <w:t>may affect the amount</w:t>
      </w:r>
      <w:r w:rsidR="00643B26">
        <w:t xml:space="preserve"> </w:t>
      </w:r>
      <w:r>
        <w:t>of Illinois net loss deduction that can be absorbed in</w:t>
      </w:r>
      <w:r w:rsidR="00643B26">
        <w:t xml:space="preserve"> </w:t>
      </w:r>
      <w:r>
        <w:t>a particular</w:t>
      </w:r>
      <w:r w:rsidR="00643B26">
        <w:t xml:space="preserve"> </w:t>
      </w:r>
      <w:r>
        <w:t>year.</w:t>
      </w:r>
      <w:r w:rsidR="00643B26">
        <w:t xml:space="preserve"> </w:t>
      </w:r>
      <w:r>
        <w:t>If a combined return is</w:t>
      </w:r>
      <w:r w:rsidR="00643B26">
        <w:t xml:space="preserve"> </w:t>
      </w:r>
      <w:r>
        <w:t>filed, any</w:t>
      </w:r>
      <w:r w:rsidR="00643B26">
        <w:t xml:space="preserve"> </w:t>
      </w:r>
      <w:r>
        <w:t>Illinois</w:t>
      </w:r>
      <w:r w:rsidR="00643B26">
        <w:t xml:space="preserve"> </w:t>
      </w:r>
      <w:r>
        <w:t>net</w:t>
      </w:r>
      <w:r w:rsidR="00643B26">
        <w:t xml:space="preserve"> </w:t>
      </w:r>
      <w:r>
        <w:t>loss</w:t>
      </w:r>
      <w:r w:rsidR="00643B26">
        <w:t xml:space="preserve"> </w:t>
      </w:r>
      <w:r>
        <w:t>deductions</w:t>
      </w:r>
      <w:r w:rsidR="00643B26">
        <w:t xml:space="preserve"> </w:t>
      </w:r>
      <w:r>
        <w:t>are combined and</w:t>
      </w:r>
      <w:r w:rsidR="00643B26">
        <w:t xml:space="preserve"> </w:t>
      </w:r>
      <w:r>
        <w:t>subtracted from</w:t>
      </w:r>
      <w:r w:rsidR="00643B26">
        <w:t xml:space="preserve"> </w:t>
      </w:r>
      <w:r>
        <w:t>combined</w:t>
      </w:r>
      <w:r w:rsidR="00643B26">
        <w:t xml:space="preserve"> </w:t>
      </w:r>
      <w:r>
        <w:t>Illinois</w:t>
      </w:r>
      <w:r w:rsidR="00643B26">
        <w:t xml:space="preserve"> </w:t>
      </w:r>
      <w:r>
        <w:t>net income, whereas</w:t>
      </w:r>
      <w:r w:rsidR="00643B26">
        <w:t xml:space="preserve"> </w:t>
      </w:r>
      <w:r>
        <w:t>if a</w:t>
      </w:r>
      <w:r w:rsidR="00643B26">
        <w:t xml:space="preserve"> </w:t>
      </w:r>
      <w:r>
        <w:t>separate return</w:t>
      </w:r>
      <w:r w:rsidR="00643B26">
        <w:t xml:space="preserve"> </w:t>
      </w:r>
      <w:r>
        <w:t>is filed,</w:t>
      </w:r>
      <w:r w:rsidR="00643B26">
        <w:t xml:space="preserve"> </w:t>
      </w:r>
      <w:r>
        <w:t>the Illinois net</w:t>
      </w:r>
      <w:r w:rsidR="00643B26">
        <w:t xml:space="preserve"> </w:t>
      </w:r>
      <w:r>
        <w:t>loss deduction of that member only would be subtracted from that member's separate Illinois net income.</w:t>
      </w:r>
      <w:r w:rsidR="00643B26">
        <w:t xml:space="preserve"> </w:t>
      </w:r>
      <w:r>
        <w:t xml:space="preserve">This is illustrated in the following Example. </w:t>
      </w:r>
    </w:p>
    <w:p w14:paraId="3A2C9779" w14:textId="77777777" w:rsidR="009535B1" w:rsidRDefault="009535B1" w:rsidP="00214D17">
      <w:pPr>
        <w:widowControl w:val="0"/>
        <w:autoSpaceDE w:val="0"/>
        <w:autoSpaceDN w:val="0"/>
        <w:adjustRightInd w:val="0"/>
        <w:ind w:left="1440" w:firstLine="1440"/>
      </w:pPr>
    </w:p>
    <w:p w14:paraId="5BBBD200" w14:textId="77777777" w:rsidR="00A85950" w:rsidRDefault="00A85950" w:rsidP="009535B1">
      <w:pPr>
        <w:widowControl w:val="0"/>
        <w:autoSpaceDE w:val="0"/>
        <w:autoSpaceDN w:val="0"/>
        <w:adjustRightInd w:val="0"/>
        <w:ind w:left="1440"/>
      </w:pPr>
      <w:r>
        <w:t>EXAMPLE:</w:t>
      </w:r>
      <w:r w:rsidR="00643B26">
        <w:t xml:space="preserve"> </w:t>
      </w:r>
      <w:r>
        <w:t>Assume that Corporation A and Corporation B constitute a</w:t>
      </w:r>
      <w:r w:rsidR="00643B26">
        <w:t xml:space="preserve"> </w:t>
      </w:r>
      <w:r>
        <w:t>unitary business</w:t>
      </w:r>
      <w:r w:rsidR="00643B26">
        <w:t xml:space="preserve"> </w:t>
      </w:r>
      <w:r>
        <w:t>group,</w:t>
      </w:r>
      <w:r w:rsidR="00643B26">
        <w:t xml:space="preserve"> </w:t>
      </w:r>
      <w:r>
        <w:t>that</w:t>
      </w:r>
      <w:r w:rsidR="00643B26">
        <w:t xml:space="preserve"> </w:t>
      </w:r>
      <w:r>
        <w:t>in</w:t>
      </w:r>
      <w:r w:rsidR="00643B26">
        <w:t xml:space="preserve"> </w:t>
      </w:r>
      <w:r>
        <w:t>1986 there</w:t>
      </w:r>
      <w:r w:rsidR="00643B26">
        <w:t xml:space="preserve"> </w:t>
      </w:r>
      <w:r>
        <w:t>is a</w:t>
      </w:r>
      <w:r w:rsidR="00643B26">
        <w:t xml:space="preserve"> </w:t>
      </w:r>
      <w:r>
        <w:t>$170 Illinois net loss entirely attributable to</w:t>
      </w:r>
      <w:r w:rsidR="00643B26">
        <w:t xml:space="preserve"> </w:t>
      </w:r>
      <w:r>
        <w:t>Corporation A</w:t>
      </w:r>
      <w:r w:rsidR="00643B26">
        <w:t xml:space="preserve"> </w:t>
      </w:r>
      <w:r>
        <w:t>because Corporation</w:t>
      </w:r>
      <w:r w:rsidR="00643B26">
        <w:t xml:space="preserve"> </w:t>
      </w:r>
      <w:r>
        <w:t>B had no</w:t>
      </w:r>
      <w:r w:rsidR="00643B26">
        <w:t xml:space="preserve"> </w:t>
      </w:r>
      <w:r>
        <w:t>property, payroll,</w:t>
      </w:r>
      <w:r w:rsidR="00643B26">
        <w:t xml:space="preserve"> </w:t>
      </w:r>
      <w:r>
        <w:t>or sales</w:t>
      </w:r>
      <w:r w:rsidR="00643B26">
        <w:t xml:space="preserve"> </w:t>
      </w:r>
      <w:r>
        <w:t>in Illinois, and that the</w:t>
      </w:r>
      <w:r w:rsidR="00643B26">
        <w:t xml:space="preserve"> </w:t>
      </w:r>
      <w:r>
        <w:t>loss must</w:t>
      </w:r>
      <w:r w:rsidR="00643B26">
        <w:t xml:space="preserve"> </w:t>
      </w:r>
      <w:r>
        <w:t>be</w:t>
      </w:r>
      <w:r w:rsidR="00643B26">
        <w:t xml:space="preserve"> </w:t>
      </w:r>
      <w:r>
        <w:t>carried</w:t>
      </w:r>
      <w:r w:rsidR="00643B26">
        <w:t xml:space="preserve"> </w:t>
      </w:r>
      <w:r>
        <w:t>forward</w:t>
      </w:r>
      <w:r w:rsidR="00643B26">
        <w:t xml:space="preserve"> </w:t>
      </w:r>
      <w:r>
        <w:t>because</w:t>
      </w:r>
      <w:r w:rsidR="00643B26">
        <w:t xml:space="preserve"> </w:t>
      </w:r>
      <w:r>
        <w:t>of losses in</w:t>
      </w:r>
      <w:r w:rsidR="00643B26">
        <w:t xml:space="preserve"> </w:t>
      </w:r>
      <w:r>
        <w:t>prior years.</w:t>
      </w:r>
      <w:r w:rsidR="00643B26">
        <w:t xml:space="preserve"> </w:t>
      </w:r>
      <w:r>
        <w:t>Assume</w:t>
      </w:r>
      <w:r w:rsidR="00643B26">
        <w:t xml:space="preserve"> </w:t>
      </w:r>
      <w:r>
        <w:t>further that in 1987 both A</w:t>
      </w:r>
      <w:r w:rsidR="00643B26">
        <w:t xml:space="preserve"> </w:t>
      </w:r>
      <w:r>
        <w:t>and B</w:t>
      </w:r>
      <w:r w:rsidR="00643B26">
        <w:t xml:space="preserve"> </w:t>
      </w:r>
      <w:r>
        <w:t>have property,</w:t>
      </w:r>
      <w:r w:rsidR="00643B26">
        <w:t xml:space="preserve"> </w:t>
      </w:r>
      <w:r>
        <w:t>payroll</w:t>
      </w:r>
      <w:r w:rsidR="00643B26">
        <w:t xml:space="preserve"> </w:t>
      </w:r>
      <w:r>
        <w:t>and</w:t>
      </w:r>
      <w:r w:rsidR="00643B26">
        <w:t xml:space="preserve"> </w:t>
      </w:r>
      <w:r>
        <w:t>sales</w:t>
      </w:r>
      <w:r w:rsidR="00643B26">
        <w:t xml:space="preserve"> </w:t>
      </w:r>
      <w:r>
        <w:t>in Illinois.</w:t>
      </w:r>
      <w:r w:rsidR="00643B26">
        <w:t xml:space="preserve"> </w:t>
      </w:r>
      <w:r>
        <w:t>The separate and combined absorption of the loss in</w:t>
      </w:r>
      <w:r w:rsidR="00643B26">
        <w:t xml:space="preserve"> </w:t>
      </w:r>
      <w:r>
        <w:t>1987 is</w:t>
      </w:r>
      <w:r w:rsidR="00643B26">
        <w:t xml:space="preserve"> </w:t>
      </w:r>
      <w:r>
        <w:t>illustrated below.</w:t>
      </w:r>
      <w:r w:rsidR="00643B26">
        <w:t xml:space="preserve"> </w:t>
      </w:r>
      <w:r>
        <w:t>Under the facts given, if</w:t>
      </w:r>
      <w:r w:rsidR="00643B26">
        <w:t xml:space="preserve"> </w:t>
      </w:r>
      <w:r>
        <w:t>A and</w:t>
      </w:r>
      <w:r w:rsidR="00643B26">
        <w:t xml:space="preserve"> </w:t>
      </w:r>
      <w:r>
        <w:t>B file</w:t>
      </w:r>
      <w:r w:rsidR="00643B26">
        <w:t xml:space="preserve"> </w:t>
      </w:r>
      <w:r>
        <w:t>separate returns,</w:t>
      </w:r>
      <w:r w:rsidR="00643B26">
        <w:t xml:space="preserve"> </w:t>
      </w:r>
      <w:r>
        <w:t>the</w:t>
      </w:r>
      <w:r w:rsidR="00643B26">
        <w:t xml:space="preserve"> </w:t>
      </w:r>
      <w:r>
        <w:t>$170 Illinois net</w:t>
      </w:r>
      <w:r w:rsidR="00643B26">
        <w:t xml:space="preserve"> </w:t>
      </w:r>
      <w:r>
        <w:t>loss deduction will be recognized on A's return only,</w:t>
      </w:r>
      <w:r w:rsidR="00643B26">
        <w:t xml:space="preserve"> </w:t>
      </w:r>
      <w:r>
        <w:t>and A will have a $70 net loss carryover to 1988.</w:t>
      </w:r>
      <w:r w:rsidR="00643B26">
        <w:t xml:space="preserve"> </w:t>
      </w:r>
      <w:r>
        <w:t>B</w:t>
      </w:r>
      <w:r w:rsidR="00643B26">
        <w:t xml:space="preserve"> </w:t>
      </w:r>
      <w:r>
        <w:t>will have</w:t>
      </w:r>
      <w:r w:rsidR="00643B26">
        <w:t xml:space="preserve"> </w:t>
      </w:r>
      <w:r>
        <w:t>to pay</w:t>
      </w:r>
      <w:r w:rsidR="00643B26">
        <w:t xml:space="preserve"> </w:t>
      </w:r>
      <w:r>
        <w:t>tax on</w:t>
      </w:r>
      <w:r w:rsidR="00643B26">
        <w:t xml:space="preserve"> </w:t>
      </w:r>
      <w:r>
        <w:t>net income of $400.</w:t>
      </w:r>
      <w:r w:rsidR="00643B26">
        <w:t xml:space="preserve"> </w:t>
      </w:r>
      <w:r>
        <w:t>If a combined return is filed in 1987, the $170 Illinois net</w:t>
      </w:r>
      <w:r w:rsidR="00643B26">
        <w:t xml:space="preserve"> </w:t>
      </w:r>
      <w:r>
        <w:t>loss from 1986 will be fully absorbed in 1987, and</w:t>
      </w:r>
      <w:r w:rsidR="00643B26">
        <w:t xml:space="preserve"> </w:t>
      </w:r>
      <w:r>
        <w:t xml:space="preserve">the combined group will pay tax on combined net income of $330. </w:t>
      </w:r>
    </w:p>
    <w:p w14:paraId="4F742A0F" w14:textId="77777777" w:rsidR="00A85950" w:rsidRDefault="00A85950" w:rsidP="00214D17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68" w:type="dxa"/>
        <w:tblLook w:val="0000" w:firstRow="0" w:lastRow="0" w:firstColumn="0" w:lastColumn="0" w:noHBand="0" w:noVBand="0"/>
      </w:tblPr>
      <w:tblGrid>
        <w:gridCol w:w="3084"/>
        <w:gridCol w:w="1197"/>
        <w:gridCol w:w="1197"/>
        <w:gridCol w:w="1425"/>
      </w:tblGrid>
      <w:tr w:rsidR="00F75C9F" w14:paraId="227CB849" w14:textId="77777777" w:rsidTr="00E2418F">
        <w:tc>
          <w:tcPr>
            <w:tcW w:w="3084" w:type="dxa"/>
          </w:tcPr>
          <w:p w14:paraId="367E560B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14:paraId="27B7C09C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Corp. A</w:t>
            </w:r>
          </w:p>
        </w:tc>
        <w:tc>
          <w:tcPr>
            <w:tcW w:w="1197" w:type="dxa"/>
          </w:tcPr>
          <w:p w14:paraId="4F64E7A1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Corp. B</w:t>
            </w:r>
          </w:p>
        </w:tc>
        <w:tc>
          <w:tcPr>
            <w:tcW w:w="1425" w:type="dxa"/>
          </w:tcPr>
          <w:p w14:paraId="6D16E5D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Combined</w:t>
            </w:r>
          </w:p>
        </w:tc>
      </w:tr>
      <w:tr w:rsidR="00F75C9F" w14:paraId="6639C5E6" w14:textId="77777777" w:rsidTr="00E2418F">
        <w:tc>
          <w:tcPr>
            <w:tcW w:w="3084" w:type="dxa"/>
          </w:tcPr>
          <w:p w14:paraId="25B68523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Base income</w:t>
            </w:r>
          </w:p>
        </w:tc>
        <w:tc>
          <w:tcPr>
            <w:tcW w:w="1197" w:type="dxa"/>
          </w:tcPr>
          <w:p w14:paraId="661E6787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</w:tcPr>
          <w:p w14:paraId="3776A1C0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5" w:type="dxa"/>
          </w:tcPr>
          <w:p w14:paraId="5D281851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F75C9F" w14:paraId="22CCBA31" w14:textId="77777777" w:rsidTr="00E2418F">
        <w:tc>
          <w:tcPr>
            <w:tcW w:w="3084" w:type="dxa"/>
          </w:tcPr>
          <w:p w14:paraId="5169E6AA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Business income</w:t>
            </w:r>
          </w:p>
        </w:tc>
        <w:tc>
          <w:tcPr>
            <w:tcW w:w="1197" w:type="dxa"/>
          </w:tcPr>
          <w:p w14:paraId="66C2E6FD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</w:tcPr>
          <w:p w14:paraId="5E2472F1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5" w:type="dxa"/>
          </w:tcPr>
          <w:p w14:paraId="375A6B22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F75C9F" w14:paraId="4C455F17" w14:textId="77777777" w:rsidTr="00E2418F">
        <w:tc>
          <w:tcPr>
            <w:tcW w:w="3084" w:type="dxa"/>
          </w:tcPr>
          <w:p w14:paraId="230F9E2E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Apport. % (sep. Ill./comb. everywhere</w:t>
            </w:r>
          </w:p>
        </w:tc>
        <w:tc>
          <w:tcPr>
            <w:tcW w:w="1197" w:type="dxa"/>
          </w:tcPr>
          <w:p w14:paraId="2933FCEA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</w:tcPr>
          <w:p w14:paraId="4A7A6B4F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1425" w:type="dxa"/>
          </w:tcPr>
          <w:p w14:paraId="5573886B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40%</w:t>
            </w:r>
          </w:p>
        </w:tc>
      </w:tr>
      <w:tr w:rsidR="00F75C9F" w14:paraId="46BADE0C" w14:textId="77777777" w:rsidTr="00E2418F">
        <w:tc>
          <w:tcPr>
            <w:tcW w:w="3084" w:type="dxa"/>
          </w:tcPr>
          <w:p w14:paraId="1C5DD69D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>Apport. % (comb. Ill./comb. everywhere)</w:t>
            </w:r>
          </w:p>
        </w:tc>
        <w:tc>
          <w:tcPr>
            <w:tcW w:w="1197" w:type="dxa"/>
          </w:tcPr>
          <w:p w14:paraId="56FF1608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</w:tcPr>
          <w:p w14:paraId="12FD184F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5" w:type="dxa"/>
          </w:tcPr>
          <w:p w14:paraId="129A5BA7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50%</w:t>
            </w:r>
          </w:p>
        </w:tc>
      </w:tr>
      <w:tr w:rsidR="00F75C9F" w14:paraId="07984329" w14:textId="77777777" w:rsidTr="00E2418F">
        <w:tc>
          <w:tcPr>
            <w:tcW w:w="3084" w:type="dxa"/>
          </w:tcPr>
          <w:p w14:paraId="09E55E09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</w:pPr>
            <w:r>
              <w:t xml:space="preserve">Apportioned income </w:t>
            </w:r>
          </w:p>
        </w:tc>
        <w:tc>
          <w:tcPr>
            <w:tcW w:w="1197" w:type="dxa"/>
          </w:tcPr>
          <w:p w14:paraId="3F55336C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97" w:type="dxa"/>
          </w:tcPr>
          <w:p w14:paraId="42A279E5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425" w:type="dxa"/>
          </w:tcPr>
          <w:p w14:paraId="6E2B20DA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</w:tr>
      <w:tr w:rsidR="00F75C9F" w14:paraId="4CBCC218" w14:textId="77777777" w:rsidTr="00E2418F">
        <w:tc>
          <w:tcPr>
            <w:tcW w:w="3084" w:type="dxa"/>
          </w:tcPr>
          <w:p w14:paraId="77552806" w14:textId="77777777" w:rsidR="00F75C9F" w:rsidRDefault="00A85950" w:rsidP="00214D17">
            <w:pPr>
              <w:widowControl w:val="0"/>
              <w:autoSpaceDE w:val="0"/>
              <w:autoSpaceDN w:val="0"/>
              <w:adjustRightInd w:val="0"/>
            </w:pPr>
            <w:r>
              <w:t>Net loss deduction</w:t>
            </w:r>
          </w:p>
        </w:tc>
        <w:tc>
          <w:tcPr>
            <w:tcW w:w="1197" w:type="dxa"/>
          </w:tcPr>
          <w:p w14:paraId="18ED6DDC" w14:textId="77777777" w:rsidR="00F75C9F" w:rsidRDefault="00A85950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(170)</w:t>
            </w:r>
          </w:p>
        </w:tc>
        <w:tc>
          <w:tcPr>
            <w:tcW w:w="1197" w:type="dxa"/>
          </w:tcPr>
          <w:p w14:paraId="679C582D" w14:textId="77777777" w:rsidR="00F75C9F" w:rsidRDefault="00F75C9F" w:rsidP="00214D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5" w:type="dxa"/>
          </w:tcPr>
          <w:p w14:paraId="73EFAC95" w14:textId="77777777" w:rsidR="00F75C9F" w:rsidRDefault="00A85950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(170)</w:t>
            </w:r>
          </w:p>
        </w:tc>
      </w:tr>
      <w:tr w:rsidR="00F75C9F" w14:paraId="0C603B0F" w14:textId="77777777" w:rsidTr="00E2418F">
        <w:tc>
          <w:tcPr>
            <w:tcW w:w="3084" w:type="dxa"/>
          </w:tcPr>
          <w:p w14:paraId="006EF734" w14:textId="77777777" w:rsidR="00F75C9F" w:rsidRDefault="00A85950" w:rsidP="00214D17">
            <w:pPr>
              <w:widowControl w:val="0"/>
              <w:autoSpaceDE w:val="0"/>
              <w:autoSpaceDN w:val="0"/>
              <w:adjustRightInd w:val="0"/>
            </w:pPr>
            <w:r>
              <w:t>Net income (loss)</w:t>
            </w:r>
          </w:p>
        </w:tc>
        <w:tc>
          <w:tcPr>
            <w:tcW w:w="1197" w:type="dxa"/>
          </w:tcPr>
          <w:p w14:paraId="3C0E2942" w14:textId="77777777" w:rsidR="00F75C9F" w:rsidRDefault="00A85950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(70)</w:t>
            </w:r>
          </w:p>
        </w:tc>
        <w:tc>
          <w:tcPr>
            <w:tcW w:w="1197" w:type="dxa"/>
          </w:tcPr>
          <w:p w14:paraId="065198A1" w14:textId="77777777" w:rsidR="00F75C9F" w:rsidRDefault="00A85950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425" w:type="dxa"/>
          </w:tcPr>
          <w:p w14:paraId="03591AA7" w14:textId="77777777" w:rsidR="00F75C9F" w:rsidRDefault="00A85950" w:rsidP="00214D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</w:t>
            </w:r>
          </w:p>
        </w:tc>
      </w:tr>
    </w:tbl>
    <w:p w14:paraId="62C65F60" w14:textId="77777777" w:rsidR="00F75C9F" w:rsidRDefault="00F75C9F" w:rsidP="00214D17">
      <w:pPr>
        <w:widowControl w:val="0"/>
        <w:autoSpaceDE w:val="0"/>
        <w:autoSpaceDN w:val="0"/>
        <w:adjustRightInd w:val="0"/>
      </w:pPr>
    </w:p>
    <w:p w14:paraId="6F45D72A" w14:textId="77777777" w:rsidR="00A85950" w:rsidRPr="00D55B37" w:rsidRDefault="00A85950" w:rsidP="00214D17">
      <w:pPr>
        <w:pStyle w:val="JCARSourceNote"/>
        <w:ind w:firstLine="720"/>
      </w:pPr>
      <w:r w:rsidRPr="00D55B37">
        <w:t>(Source:</w:t>
      </w:r>
      <w:r w:rsidR="00643B26">
        <w:t xml:space="preserve"> </w:t>
      </w:r>
      <w:r w:rsidRPr="00D55B37">
        <w:t xml:space="preserve">Added at </w:t>
      </w:r>
      <w:r w:rsidR="00294CD5">
        <w:t>11</w:t>
      </w:r>
      <w:r w:rsidRPr="00D55B37">
        <w:t xml:space="preserve"> Ill. Reg. </w:t>
      </w:r>
      <w:r w:rsidR="00294CD5">
        <w:t>17782,</w:t>
      </w:r>
      <w:r w:rsidRPr="00D55B37">
        <w:t xml:space="preserve"> effective </w:t>
      </w:r>
      <w:r w:rsidR="00294CD5">
        <w:t>October 16, 1987)</w:t>
      </w:r>
    </w:p>
    <w:sectPr w:rsidR="00A85950" w:rsidRPr="00D55B37" w:rsidSect="00214D1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C9F"/>
    <w:rsid w:val="00083C7B"/>
    <w:rsid w:val="00186980"/>
    <w:rsid w:val="00214D17"/>
    <w:rsid w:val="00291D5F"/>
    <w:rsid w:val="00294CD5"/>
    <w:rsid w:val="00581E31"/>
    <w:rsid w:val="00643B26"/>
    <w:rsid w:val="009535B1"/>
    <w:rsid w:val="00A85950"/>
    <w:rsid w:val="00AA31CB"/>
    <w:rsid w:val="00B47396"/>
    <w:rsid w:val="00D55B37"/>
    <w:rsid w:val="00E2418F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C2A669"/>
  <w15:docId w15:val="{5CDB32D6-6B06-4E8A-8587-EF821929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5950"/>
  </w:style>
  <w:style w:type="paragraph" w:styleId="BalloonText">
    <w:name w:val="Balloon Text"/>
    <w:basedOn w:val="Normal"/>
    <w:semiHidden/>
    <w:rsid w:val="00643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Shipley, Melissa A.</cp:lastModifiedBy>
  <cp:revision>4</cp:revision>
  <cp:lastPrinted>2002-10-11T23:02:00Z</cp:lastPrinted>
  <dcterms:created xsi:type="dcterms:W3CDTF">2012-06-21T20:00:00Z</dcterms:created>
  <dcterms:modified xsi:type="dcterms:W3CDTF">2024-10-15T19:21:00Z</dcterms:modified>
</cp:coreProperties>
</file>