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53" w:rsidRDefault="00FF6E53" w:rsidP="00FF6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E53" w:rsidRDefault="00FF6E53" w:rsidP="00FF6E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220.120  Incorporation of Retailers' Occupation Tax Regulations by Reference</w:t>
      </w:r>
      <w:r>
        <w:t xml:space="preserve"> </w:t>
      </w:r>
    </w:p>
    <w:p w:rsidR="00FF6E53" w:rsidRDefault="00FF6E53" w:rsidP="00FF6E53">
      <w:pPr>
        <w:widowControl w:val="0"/>
        <w:autoSpaceDE w:val="0"/>
        <w:autoSpaceDN w:val="0"/>
        <w:adjustRightInd w:val="0"/>
      </w:pPr>
    </w:p>
    <w:p w:rsidR="00FF6E53" w:rsidRDefault="00FF6E53" w:rsidP="00FF6E53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Retailers' Occupation Tax Regulations (86 Ill. Adm. Code 130 which are not incompatible with the </w:t>
      </w:r>
      <w:r w:rsidR="005710B0">
        <w:t xml:space="preserve">Home Rule </w:t>
      </w:r>
      <w:r>
        <w:t xml:space="preserve">County Retailers' Occupation Tax Act or any special Regulations that may be promulgated by the Department thereunder, are incorporated herein by reference and made a part hereof. </w:t>
      </w:r>
    </w:p>
    <w:p w:rsidR="00FF6E53" w:rsidRDefault="00FF6E53" w:rsidP="00FF6E53">
      <w:pPr>
        <w:widowControl w:val="0"/>
        <w:autoSpaceDE w:val="0"/>
        <w:autoSpaceDN w:val="0"/>
        <w:adjustRightInd w:val="0"/>
      </w:pPr>
    </w:p>
    <w:p w:rsidR="00FF6E53" w:rsidRDefault="00FF6E53" w:rsidP="00FF6E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</w:t>
      </w:r>
      <w:r w:rsidR="005710B0">
        <w:t>at 15 Ill. Reg. 5783, effective April 9, 1991</w:t>
      </w:r>
      <w:r>
        <w:t xml:space="preserve">) </w:t>
      </w:r>
    </w:p>
    <w:sectPr w:rsidR="00FF6E53" w:rsidSect="00FF6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E53"/>
    <w:rsid w:val="001D7389"/>
    <w:rsid w:val="00371C30"/>
    <w:rsid w:val="005710B0"/>
    <w:rsid w:val="005C3366"/>
    <w:rsid w:val="00A32CB8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