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1C" w:rsidRDefault="00E67F1C" w:rsidP="00E67F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7F1C" w:rsidRDefault="00E67F1C" w:rsidP="00E67F1C">
      <w:pPr>
        <w:widowControl w:val="0"/>
        <w:autoSpaceDE w:val="0"/>
        <w:autoSpaceDN w:val="0"/>
        <w:adjustRightInd w:val="0"/>
      </w:pPr>
      <w:r>
        <w:t>SOURCE:  Adopted May 21, 1962; amended at 6 Ill. Reg. 2845, 2848 and 2850, effective March 3, 1982; codified at 6 Ill. Reg. 9688; amended at 15 Ill. Reg. 6290, effective April 11, 1991; amended at 24 Ill. Reg.</w:t>
      </w:r>
      <w:r w:rsidR="00234916">
        <w:t xml:space="preserve"> 8114, effective May 26, 2000.</w:t>
      </w:r>
    </w:p>
    <w:sectPr w:rsidR="00E67F1C" w:rsidSect="00E67F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7F1C"/>
    <w:rsid w:val="00234916"/>
    <w:rsid w:val="005C3366"/>
    <w:rsid w:val="005F5A0C"/>
    <w:rsid w:val="007A5681"/>
    <w:rsid w:val="00D87237"/>
    <w:rsid w:val="00E6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May 21, 1962; amended at 6 Ill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May 21, 1962; amended at 6 Ill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