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6C" w:rsidRDefault="003E4A6C" w:rsidP="003E4A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A6C" w:rsidRDefault="003E4A6C" w:rsidP="003E4A6C">
      <w:pPr>
        <w:widowControl w:val="0"/>
        <w:autoSpaceDE w:val="0"/>
        <w:autoSpaceDN w:val="0"/>
        <w:adjustRightInd w:val="0"/>
      </w:pPr>
      <w:r>
        <w:t>SOURCE:  Adopted at 5 Ill. Reg. 5907, effective May 28, 1981; codified at 6 Ill. Reg. 96</w:t>
      </w:r>
      <w:r w:rsidR="007A5BBF">
        <w:t>81</w:t>
      </w:r>
      <w:r>
        <w:t xml:space="preserve">; amended at 15 Ill. Reg. 6299, effective April 11, 1991. </w:t>
      </w:r>
      <w:r>
        <w:tab/>
      </w:r>
    </w:p>
    <w:sectPr w:rsidR="003E4A6C" w:rsidSect="003E4A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A6C"/>
    <w:rsid w:val="003E4A6C"/>
    <w:rsid w:val="005C3366"/>
    <w:rsid w:val="007A5BBF"/>
    <w:rsid w:val="00A27C1B"/>
    <w:rsid w:val="00ED37DA"/>
    <w:rsid w:val="00E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