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E" w:rsidRDefault="003B54CE" w:rsidP="003B54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4CE" w:rsidRDefault="003B54CE" w:rsidP="003B54CE">
      <w:pPr>
        <w:widowControl w:val="0"/>
        <w:autoSpaceDE w:val="0"/>
        <w:autoSpaceDN w:val="0"/>
        <w:adjustRightInd w:val="0"/>
        <w:jc w:val="center"/>
      </w:pPr>
      <w:r>
        <w:t>PART 445</w:t>
      </w:r>
    </w:p>
    <w:p w:rsidR="003B54CE" w:rsidRDefault="003B54CE" w:rsidP="003B54CE">
      <w:pPr>
        <w:widowControl w:val="0"/>
        <w:autoSpaceDE w:val="0"/>
        <w:autoSpaceDN w:val="0"/>
        <w:adjustRightInd w:val="0"/>
        <w:jc w:val="center"/>
      </w:pPr>
      <w:r>
        <w:t>TOBACCO PRODUCT MANUFACTURERS' ESCROW ACT</w:t>
      </w:r>
    </w:p>
    <w:sectPr w:rsidR="003B54CE" w:rsidSect="003B5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4CE"/>
    <w:rsid w:val="00244444"/>
    <w:rsid w:val="003B54CE"/>
    <w:rsid w:val="005C3366"/>
    <w:rsid w:val="00885484"/>
    <w:rsid w:val="00C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445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445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