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7D" w:rsidRDefault="00F9747D" w:rsidP="00F9747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9747D" w:rsidRDefault="00F9747D" w:rsidP="00F9747D">
      <w:pPr>
        <w:widowControl w:val="0"/>
        <w:autoSpaceDE w:val="0"/>
        <w:autoSpaceDN w:val="0"/>
        <w:adjustRightInd w:val="0"/>
        <w:ind w:left="1440" w:hanging="1440"/>
      </w:pPr>
      <w:r>
        <w:t>501.100</w:t>
      </w:r>
      <w:r>
        <w:tab/>
        <w:t xml:space="preserve">Definitions </w:t>
      </w:r>
    </w:p>
    <w:p w:rsidR="00F9747D" w:rsidRDefault="00F9747D" w:rsidP="00F9747D">
      <w:pPr>
        <w:widowControl w:val="0"/>
        <w:autoSpaceDE w:val="0"/>
        <w:autoSpaceDN w:val="0"/>
        <w:adjustRightInd w:val="0"/>
        <w:ind w:left="1440" w:hanging="1440"/>
      </w:pPr>
      <w:r>
        <w:t>501.200</w:t>
      </w:r>
      <w:r>
        <w:tab/>
        <w:t xml:space="preserve">Basis and Rate of the Environmental Impact Fee Law </w:t>
      </w:r>
    </w:p>
    <w:p w:rsidR="00F9747D" w:rsidRDefault="00F9747D" w:rsidP="00F9747D">
      <w:pPr>
        <w:widowControl w:val="0"/>
        <w:autoSpaceDE w:val="0"/>
        <w:autoSpaceDN w:val="0"/>
        <w:adjustRightInd w:val="0"/>
        <w:ind w:left="1440" w:hanging="1440"/>
      </w:pPr>
      <w:r>
        <w:t>501.300</w:t>
      </w:r>
      <w:r>
        <w:tab/>
        <w:t xml:space="preserve">Motor Fuel Tax Regulations Applied </w:t>
      </w:r>
    </w:p>
    <w:sectPr w:rsidR="00F9747D" w:rsidSect="00F97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47D"/>
    <w:rsid w:val="00736DEA"/>
    <w:rsid w:val="008F6B13"/>
    <w:rsid w:val="00F37803"/>
    <w:rsid w:val="00F9747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