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F6" w:rsidRDefault="00DE53F6" w:rsidP="00DE53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53F6" w:rsidRDefault="00DE53F6" w:rsidP="00DE53F6">
      <w:pPr>
        <w:widowControl w:val="0"/>
        <w:autoSpaceDE w:val="0"/>
        <w:autoSpaceDN w:val="0"/>
        <w:adjustRightInd w:val="0"/>
        <w:jc w:val="center"/>
      </w:pPr>
      <w:r>
        <w:t>PART 511</w:t>
      </w:r>
    </w:p>
    <w:p w:rsidR="00DE53F6" w:rsidRDefault="00DE53F6" w:rsidP="00DE53F6">
      <w:pPr>
        <w:widowControl w:val="0"/>
        <w:autoSpaceDE w:val="0"/>
        <w:autoSpaceDN w:val="0"/>
        <w:adjustRightInd w:val="0"/>
        <w:jc w:val="center"/>
      </w:pPr>
      <w:r>
        <w:t>ELECTRICITY EXCISE TAX LAW</w:t>
      </w:r>
    </w:p>
    <w:sectPr w:rsidR="00DE53F6" w:rsidSect="00DE53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53F6"/>
    <w:rsid w:val="002B0BF6"/>
    <w:rsid w:val="005C3366"/>
    <w:rsid w:val="009969D4"/>
    <w:rsid w:val="00DE53F6"/>
    <w:rsid w:val="00F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511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