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FB" w:rsidRDefault="005136FB" w:rsidP="005136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6FB" w:rsidRDefault="005136FB" w:rsidP="005136FB">
      <w:pPr>
        <w:widowControl w:val="0"/>
        <w:autoSpaceDE w:val="0"/>
        <w:autoSpaceDN w:val="0"/>
        <w:adjustRightInd w:val="0"/>
      </w:pPr>
      <w:r>
        <w:t xml:space="preserve">AUTHORITY:  Implementing Section 11.5 of the Salem Civic Center Use and Occupation Tax Law of the Salem Civic Center Law [70 ILCS 335/11.5] and authorized by Section 39b29 of the Civil Administrative Code of Illinois [20 ILCS 2505/39b29]. </w:t>
      </w:r>
    </w:p>
    <w:sectPr w:rsidR="005136FB" w:rsidSect="005136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6FB"/>
    <w:rsid w:val="005136FB"/>
    <w:rsid w:val="005C3366"/>
    <w:rsid w:val="00991661"/>
    <w:rsid w:val="00A84BFD"/>
    <w:rsid w:val="00D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11</vt:lpstr>
    </vt:vector>
  </TitlesOfParts>
  <Company>State of Illinois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11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