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F9ADA" w14:textId="77777777" w:rsidR="00CE0F15" w:rsidRPr="00BD1E54" w:rsidRDefault="00CE0F15" w:rsidP="00CE0F15">
      <w:pPr>
        <w:spacing w:after="0" w:line="240" w:lineRule="auto"/>
        <w:rPr>
          <w:rFonts w:ascii="Times New Roman" w:eastAsia="Times New Roman" w:hAnsi="Times New Roman" w:cs="Times New Roman"/>
          <w:color w:val="000000"/>
          <w:sz w:val="24"/>
          <w:szCs w:val="20"/>
        </w:rPr>
      </w:pPr>
    </w:p>
    <w:p w14:paraId="34A475B0" w14:textId="77777777" w:rsidR="00CE0F15" w:rsidRPr="00BD1E54" w:rsidRDefault="00CE0F15" w:rsidP="00CE0F15">
      <w:pPr>
        <w:spacing w:after="0" w:line="240" w:lineRule="auto"/>
        <w:rPr>
          <w:rFonts w:ascii="Times New Roman" w:eastAsia="Times New Roman" w:hAnsi="Times New Roman" w:cs="Times New Roman"/>
          <w:b/>
          <w:color w:val="000000"/>
          <w:sz w:val="24"/>
          <w:szCs w:val="20"/>
        </w:rPr>
      </w:pPr>
      <w:bookmarkStart w:id="0" w:name="_Hlk115093692"/>
      <w:r w:rsidRPr="00BD1E54">
        <w:rPr>
          <w:rFonts w:ascii="Times New Roman" w:eastAsia="Times New Roman" w:hAnsi="Times New Roman" w:cs="Times New Roman"/>
          <w:b/>
          <w:color w:val="000000"/>
          <w:sz w:val="24"/>
          <w:szCs w:val="20"/>
        </w:rPr>
        <w:t>Section 850.175</w:t>
      </w:r>
      <w:r>
        <w:rPr>
          <w:rFonts w:ascii="Times New Roman" w:eastAsia="Times New Roman" w:hAnsi="Times New Roman" w:cs="Times New Roman"/>
          <w:b/>
          <w:color w:val="000000"/>
          <w:sz w:val="24"/>
          <w:szCs w:val="20"/>
        </w:rPr>
        <w:t xml:space="preserve">  </w:t>
      </w:r>
      <w:r w:rsidRPr="00BD1E54">
        <w:rPr>
          <w:rFonts w:ascii="Times New Roman" w:eastAsia="Times New Roman" w:hAnsi="Times New Roman" w:cs="Times New Roman"/>
          <w:b/>
          <w:color w:val="000000"/>
          <w:sz w:val="24"/>
          <w:szCs w:val="20"/>
        </w:rPr>
        <w:t>Extension of Audit Timeframe</w:t>
      </w:r>
    </w:p>
    <w:p w14:paraId="2443A845" w14:textId="77777777" w:rsidR="00CE0F15" w:rsidRPr="00CE0F15" w:rsidRDefault="00CE0F15" w:rsidP="00CE0F15">
      <w:pPr>
        <w:spacing w:after="0" w:line="240" w:lineRule="auto"/>
        <w:rPr>
          <w:rFonts w:ascii="Times New Roman" w:eastAsia="Times New Roman" w:hAnsi="Times New Roman" w:cs="Times New Roman"/>
          <w:bCs/>
          <w:color w:val="000000"/>
          <w:sz w:val="24"/>
          <w:szCs w:val="20"/>
        </w:rPr>
      </w:pPr>
    </w:p>
    <w:p w14:paraId="529B35E8" w14:textId="28826B48" w:rsidR="00CE0F15" w:rsidRPr="00BD1E54" w:rsidRDefault="00CE0F15" w:rsidP="00CE0F15">
      <w:pPr>
        <w:spacing w:after="0" w:line="240" w:lineRule="auto"/>
        <w:rPr>
          <w:rFonts w:ascii="Times New Roman" w:eastAsia="Times New Roman" w:hAnsi="Times New Roman" w:cs="Times New Roman"/>
          <w:color w:val="000000"/>
          <w:sz w:val="24"/>
          <w:szCs w:val="20"/>
        </w:rPr>
      </w:pPr>
      <w:r w:rsidRPr="00BD1E54">
        <w:rPr>
          <w:rFonts w:ascii="Times New Roman" w:eastAsia="Times New Roman" w:hAnsi="Times New Roman" w:cs="Times New Roman"/>
          <w:color w:val="000000"/>
          <w:sz w:val="24"/>
          <w:szCs w:val="20"/>
        </w:rPr>
        <w:t xml:space="preserve">Upon written request of the participating taxpayer or qualified practitioner, the time within which the </w:t>
      </w:r>
      <w:r w:rsidR="008C3FD1">
        <w:rPr>
          <w:rFonts w:ascii="Times New Roman" w:eastAsia="Times New Roman" w:hAnsi="Times New Roman" w:cs="Times New Roman"/>
          <w:color w:val="000000"/>
          <w:sz w:val="24"/>
          <w:szCs w:val="20"/>
        </w:rPr>
        <w:t>c</w:t>
      </w:r>
      <w:r w:rsidRPr="00BD1E54">
        <w:rPr>
          <w:rFonts w:ascii="Times New Roman" w:eastAsia="Times New Roman" w:hAnsi="Times New Roman" w:cs="Times New Roman"/>
          <w:color w:val="000000"/>
          <w:sz w:val="24"/>
          <w:szCs w:val="20"/>
        </w:rPr>
        <w:t xml:space="preserve">ertified </w:t>
      </w:r>
      <w:r w:rsidR="008C3FD1">
        <w:rPr>
          <w:rFonts w:ascii="Times New Roman" w:eastAsia="Times New Roman" w:hAnsi="Times New Roman" w:cs="Times New Roman"/>
          <w:color w:val="000000"/>
          <w:sz w:val="24"/>
          <w:szCs w:val="20"/>
        </w:rPr>
        <w:t>a</w:t>
      </w:r>
      <w:r w:rsidRPr="00BD1E54">
        <w:rPr>
          <w:rFonts w:ascii="Times New Roman" w:eastAsia="Times New Roman" w:hAnsi="Times New Roman" w:cs="Times New Roman"/>
          <w:color w:val="000000"/>
          <w:sz w:val="24"/>
          <w:szCs w:val="20"/>
        </w:rPr>
        <w:t xml:space="preserve">udit is to be performed may be extended by the Department upon good cause shown.  Good cause shown includes delays beyond the control of the participating taxpayer or qualified practitioner.  The Department may require the participating taxpayer to execute a waiver extending the statute of limitations if fewer than 75 days remain before the expiration of the statute of limitations. </w:t>
      </w:r>
    </w:p>
    <w:bookmarkEnd w:id="0"/>
    <w:sectPr w:rsidR="00CE0F15" w:rsidRPr="00BD1E54" w:rsidSect="007B5ACF">
      <w:pgSz w:w="12240" w:h="15840" w:code="1"/>
      <w:pgMar w:top="1440" w:right="1440" w:bottom="1440" w:left="1440" w:header="1440" w:footer="1440" w:gutter="0"/>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13439" w14:textId="77777777" w:rsidR="000D0F59" w:rsidRDefault="000D0F59">
      <w:r>
        <w:separator/>
      </w:r>
    </w:p>
  </w:endnote>
  <w:endnote w:type="continuationSeparator" w:id="0">
    <w:p w14:paraId="12639447" w14:textId="77777777" w:rsidR="000D0F59" w:rsidRDefault="000D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E8B35" w14:textId="77777777" w:rsidR="000D0F59" w:rsidRDefault="000D0F59">
      <w:r>
        <w:separator/>
      </w:r>
    </w:p>
  </w:footnote>
  <w:footnote w:type="continuationSeparator" w:id="0">
    <w:p w14:paraId="3569F11F" w14:textId="77777777" w:rsidR="000D0F59" w:rsidRDefault="000D0F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F59"/>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0F59"/>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3380E"/>
    <w:rsid w:val="00737469"/>
    <w:rsid w:val="00740393"/>
    <w:rsid w:val="00742136"/>
    <w:rsid w:val="00744356"/>
    <w:rsid w:val="00745353"/>
    <w:rsid w:val="00750400"/>
    <w:rsid w:val="00760E28"/>
    <w:rsid w:val="00763B6D"/>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3FD1"/>
    <w:rsid w:val="008C4FAF"/>
    <w:rsid w:val="008C5359"/>
    <w:rsid w:val="008D06A1"/>
    <w:rsid w:val="008D7182"/>
    <w:rsid w:val="008E68BC"/>
    <w:rsid w:val="008F2BEE"/>
    <w:rsid w:val="008F3E3B"/>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0F15"/>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51C97"/>
  <w15:chartTrackingRefBased/>
  <w15:docId w15:val="{D5196E35-5735-4F17-8710-628E127B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F15"/>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pPr>
      <w:keepNext/>
      <w:spacing w:before="240" w:after="60" w:line="240" w:lineRule="auto"/>
      <w:outlineLvl w:val="0"/>
    </w:pPr>
    <w:rPr>
      <w:rFonts w:ascii="Times New Roman" w:eastAsia="Times New Roman" w:hAnsi="Times New Roman" w:cs="Arial"/>
      <w:bCs/>
      <w:kern w:val="32"/>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pPr>
      <w:spacing w:after="0"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paragraph" w:styleId="Footer">
    <w:name w:val="footer"/>
    <w:basedOn w:val="Normal"/>
    <w:rsid w:val="00A600AA"/>
    <w:pPr>
      <w:tabs>
        <w:tab w:val="center" w:pos="4320"/>
        <w:tab w:val="right" w:pos="8640"/>
      </w:tabs>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A600AA"/>
  </w:style>
  <w:style w:type="paragraph" w:customStyle="1" w:styleId="RegisterHeader">
    <w:name w:val="RegisterHeader"/>
    <w:basedOn w:val="Normal"/>
    <w:rsid w:val="00A600AA"/>
    <w:pPr>
      <w:spacing w:after="0" w:line="240" w:lineRule="auto"/>
      <w:ind w:right="-144"/>
    </w:pPr>
    <w:rPr>
      <w:rFonts w:ascii="Times New Roman" w:eastAsia="Times New Roman" w:hAnsi="Times New Roman" w:cs="Times New Roman"/>
      <w:snapToGrid w:val="0"/>
      <w:sz w:val="24"/>
      <w:szCs w:val="20"/>
      <w:u w:val="single"/>
    </w:rPr>
  </w:style>
  <w:style w:type="paragraph" w:customStyle="1" w:styleId="JCARMainSourceNote">
    <w:name w:val="JCAR Main Source Note"/>
    <w:basedOn w:val="Normal"/>
    <w:rsid w:val="00A600AA"/>
    <w:pPr>
      <w:spacing w:after="0" w:line="240" w:lineRule="auto"/>
    </w:pPr>
    <w:rPr>
      <w:rFonts w:ascii="Times New Roman" w:eastAsia="Times New Roman" w:hAnsi="Times New Roman" w:cs="Times New Roman"/>
      <w:sz w:val="24"/>
      <w:szCs w:val="24"/>
    </w:rPr>
  </w:style>
  <w:style w:type="paragraph" w:styleId="BodyText">
    <w:name w:val="Body Text"/>
    <w:basedOn w:val="Normal"/>
    <w:rsid w:val="001C71C2"/>
    <w:pPr>
      <w:spacing w:after="12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467</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Knudson, Cheryl J.</dc:creator>
  <cp:keywords/>
  <dc:description/>
  <cp:lastModifiedBy>Dotts, Joyce M.</cp:lastModifiedBy>
  <cp:revision>3</cp:revision>
  <dcterms:created xsi:type="dcterms:W3CDTF">2023-05-22T14:10:00Z</dcterms:created>
  <dcterms:modified xsi:type="dcterms:W3CDTF">2023-09-15T17:26:00Z</dcterms:modified>
</cp:coreProperties>
</file>