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10" w:rsidRDefault="007E6710" w:rsidP="007E67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710" w:rsidRDefault="007E6710" w:rsidP="007E67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3000.615  Payout Percentage for Electronic Gaming Devices</w:t>
      </w:r>
      <w:r>
        <w:t xml:space="preserve"> </w:t>
      </w:r>
    </w:p>
    <w:p w:rsidR="007E6710" w:rsidRDefault="007E6710" w:rsidP="007E6710">
      <w:pPr>
        <w:widowControl w:val="0"/>
        <w:autoSpaceDE w:val="0"/>
        <w:autoSpaceDN w:val="0"/>
        <w:adjustRightInd w:val="0"/>
      </w:pPr>
    </w:p>
    <w:p w:rsidR="007E6710" w:rsidRDefault="007E6710" w:rsidP="007E6710">
      <w:pPr>
        <w:widowControl w:val="0"/>
        <w:autoSpaceDE w:val="0"/>
        <w:autoSpaceDN w:val="0"/>
        <w:adjustRightInd w:val="0"/>
      </w:pPr>
      <w:r>
        <w:t xml:space="preserve">A holder of any Owner's License shall display the minimum Theoretical Aggregate Payout Percentage of all of the Electronic Gaming Devices in operation. </w:t>
      </w:r>
    </w:p>
    <w:sectPr w:rsidR="007E6710" w:rsidSect="007E67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710"/>
    <w:rsid w:val="005C3366"/>
    <w:rsid w:val="007E6710"/>
    <w:rsid w:val="008C5A38"/>
    <w:rsid w:val="00A04702"/>
    <w:rsid w:val="00A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