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54" w:rsidRDefault="00074E54" w:rsidP="00074E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4E54" w:rsidRDefault="00074E54" w:rsidP="00074E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1225.2400  Class Rates from or to Unnamed Points Applicable Only to Motor Carriers of Property</w:t>
      </w:r>
      <w:r>
        <w:t xml:space="preserve"> </w:t>
      </w:r>
    </w:p>
    <w:p w:rsidR="00074E54" w:rsidRDefault="00074E54" w:rsidP="00074E54">
      <w:pPr>
        <w:widowControl w:val="0"/>
        <w:autoSpaceDE w:val="0"/>
        <w:autoSpaceDN w:val="0"/>
        <w:adjustRightInd w:val="0"/>
      </w:pPr>
    </w:p>
    <w:p w:rsidR="00074E54" w:rsidRDefault="00074E54" w:rsidP="00074E54">
      <w:pPr>
        <w:widowControl w:val="0"/>
        <w:autoSpaceDE w:val="0"/>
        <w:autoSpaceDN w:val="0"/>
        <w:adjustRightInd w:val="0"/>
      </w:pPr>
      <w:r>
        <w:t xml:space="preserve">If the class-rate intermediate rule is not used or will not cover all unnamed points a carrier may serve, a rule describing how to compute rates on unnamed points shall be published.  Application of the various rules, if more than one is used, shall be stated. </w:t>
      </w:r>
    </w:p>
    <w:sectPr w:rsidR="00074E54" w:rsidSect="00074E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E54"/>
    <w:rsid w:val="00074E54"/>
    <w:rsid w:val="0012311C"/>
    <w:rsid w:val="001F3FC4"/>
    <w:rsid w:val="004E620A"/>
    <w:rsid w:val="006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