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E7" w:rsidRDefault="00126CE7" w:rsidP="00126C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6CE7" w:rsidRDefault="00126CE7" w:rsidP="00126CE7">
      <w:pPr>
        <w:widowControl w:val="0"/>
        <w:autoSpaceDE w:val="0"/>
        <w:autoSpaceDN w:val="0"/>
        <w:adjustRightInd w:val="0"/>
      </w:pPr>
      <w:r>
        <w:t xml:space="preserve">SOURCE:  Filed and effective December 15, 1977; codified at 6 Ill. Reg. 8432; amended at 10 Ill. Reg. 20024, effective November 17, 1986; amended at 25 Ill. Reg. 4280, effective March 13, 2001. </w:t>
      </w:r>
    </w:p>
    <w:sectPr w:rsidR="00126CE7" w:rsidSect="00126C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6CE7"/>
    <w:rsid w:val="00126CE7"/>
    <w:rsid w:val="002F5655"/>
    <w:rsid w:val="003B2E89"/>
    <w:rsid w:val="004E620A"/>
    <w:rsid w:val="00EA6C25"/>
    <w:rsid w:val="00F2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15, 1977; codified at 6 Ill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15, 1977; codified at 6 Ill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